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5762DCB" w:rsidR="00BA0D15" w:rsidRPr="007937F8" w:rsidRDefault="00F3529C" w:rsidP="00BA0D15">
      <w:pPr>
        <w:ind w:right="39"/>
      </w:pPr>
      <w:r>
        <w:rPr>
          <w:rFonts w:ascii="NobelCE Lt" w:hAnsi="NobelCE Lt"/>
          <w:sz w:val="24"/>
          <w:szCs w:val="24"/>
        </w:rPr>
        <w:t>28</w:t>
      </w:r>
      <w:r w:rsidR="008A2445">
        <w:rPr>
          <w:rFonts w:ascii="NobelCE Lt" w:hAnsi="NobelCE Lt"/>
          <w:sz w:val="24"/>
          <w:szCs w:val="24"/>
        </w:rPr>
        <w:t xml:space="preserve"> PAŹDZIERNIKA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bookmarkEnd w:id="0"/>
    <w:p w14:paraId="7B7DD7F8" w14:textId="068FD17B" w:rsidR="00A00F4E" w:rsidRDefault="00F3529C" w:rsidP="00E6476E">
      <w:pPr>
        <w:spacing w:after="0"/>
        <w:rPr>
          <w:rFonts w:ascii="NobelCE Lt" w:hAnsi="NobelCE Lt"/>
          <w:b/>
          <w:sz w:val="24"/>
          <w:szCs w:val="24"/>
        </w:rPr>
      </w:pPr>
      <w:r w:rsidRPr="00F3529C">
        <w:rPr>
          <w:rFonts w:ascii="NobelCE Lt" w:hAnsi="NobelCE Lt"/>
          <w:b/>
          <w:sz w:val="36"/>
          <w:szCs w:val="36"/>
        </w:rPr>
        <w:t>Lexus pobił rekord miliona samochodów sprzedanych w Europie</w:t>
      </w:r>
    </w:p>
    <w:p w14:paraId="083088CE" w14:textId="05197F63" w:rsidR="00E6476E" w:rsidRDefault="00E6476E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3E38B702" w14:textId="77777777" w:rsidR="00656513" w:rsidRDefault="00656513" w:rsidP="00E6476E">
      <w:pPr>
        <w:spacing w:after="0"/>
        <w:rPr>
          <w:rFonts w:ascii="NobelCE Lt" w:hAnsi="NobelCE Lt"/>
          <w:b/>
          <w:sz w:val="24"/>
          <w:szCs w:val="24"/>
        </w:rPr>
      </w:pPr>
    </w:p>
    <w:p w14:paraId="61816C80" w14:textId="77777777" w:rsidR="00F3529C" w:rsidRPr="00F3529C" w:rsidRDefault="00F3529C" w:rsidP="00F3529C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bCs/>
          <w:sz w:val="24"/>
          <w:szCs w:val="24"/>
        </w:rPr>
      </w:pPr>
      <w:r w:rsidRPr="00F3529C">
        <w:rPr>
          <w:rFonts w:ascii="NobelCE Lt" w:hAnsi="NobelCE Lt"/>
          <w:b/>
          <w:bCs/>
          <w:sz w:val="24"/>
          <w:szCs w:val="24"/>
        </w:rPr>
        <w:t>Przełomowe osiągnięcie sprzedaży miliona samochodów na europejskim rynku przypada na 30. rocznicę Lexusa w Europie*</w:t>
      </w:r>
    </w:p>
    <w:p w14:paraId="3D2C62E9" w14:textId="77777777" w:rsidR="00F3529C" w:rsidRPr="00F3529C" w:rsidRDefault="00F3529C" w:rsidP="00F3529C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bCs/>
          <w:sz w:val="24"/>
          <w:szCs w:val="24"/>
        </w:rPr>
      </w:pPr>
      <w:r w:rsidRPr="00F3529C">
        <w:rPr>
          <w:rFonts w:ascii="NobelCE Lt" w:hAnsi="NobelCE Lt"/>
          <w:b/>
          <w:bCs/>
          <w:sz w:val="24"/>
          <w:szCs w:val="24"/>
        </w:rPr>
        <w:t>Marka zadebiutowała z modelem LS w 1990 roku</w:t>
      </w:r>
    </w:p>
    <w:p w14:paraId="6ADB5A83" w14:textId="77777777" w:rsidR="00F3529C" w:rsidRPr="00F3529C" w:rsidRDefault="00F3529C" w:rsidP="00F3529C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bCs/>
          <w:sz w:val="24"/>
          <w:szCs w:val="24"/>
        </w:rPr>
      </w:pPr>
      <w:r w:rsidRPr="00F3529C">
        <w:rPr>
          <w:rFonts w:ascii="NobelCE Lt" w:hAnsi="NobelCE Lt"/>
          <w:b/>
          <w:bCs/>
          <w:sz w:val="24"/>
          <w:szCs w:val="24"/>
        </w:rPr>
        <w:t>Sukces Lexusa w Europie opiera się na technologii hybrydowej, charakterystycznej stylistyce oraz wiodącej w branży obsłudze klienta</w:t>
      </w:r>
    </w:p>
    <w:p w14:paraId="7C2C3392" w14:textId="3051CD21" w:rsid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D3735C4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6C35C1A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>We wrześniu Lexus przekroczył liczbę miliona samochodów sprzedanych w Europie, Rekord ten zbiegł się w czasie z 30. rocznicą debiutu marki w Europie. Zbiega się to również z początkiem nowej epoki w historii marki, wraz z wprowadzeniem na wybrane rynki europejskie UX 300e, pierwszego samochodu elektrycznego na baterie w gamie Lexusa.</w:t>
      </w:r>
    </w:p>
    <w:p w14:paraId="4FB13938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5CED0923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W 1990 roku, zaledwie kilka miesięcy po globalnym debiucie w Stanach Zjednoczonych, Lexus rozpoczął działalność w Europie z modelem LS 400, którego sprzedaż do końca roku wyniosła 1158 aut. Być może był to skromny początek, ale sygnalizował transformację rynku samochodów </w:t>
      </w:r>
      <w:proofErr w:type="spellStart"/>
      <w:r w:rsidRPr="00F3529C">
        <w:rPr>
          <w:rFonts w:ascii="NobelCE Lt" w:hAnsi="NobelCE Lt"/>
          <w:sz w:val="24"/>
          <w:szCs w:val="24"/>
        </w:rPr>
        <w:t>premium</w:t>
      </w:r>
      <w:proofErr w:type="spellEnd"/>
      <w:r w:rsidRPr="00F3529C">
        <w:rPr>
          <w:rFonts w:ascii="NobelCE Lt" w:hAnsi="NobelCE Lt"/>
          <w:sz w:val="24"/>
          <w:szCs w:val="24"/>
        </w:rPr>
        <w:t>. LS na nowo zdefiniował, czym powinien być samochód luksusowy pod względem osiągów, wydajności i zaawansowanych elementów wyposażenia.</w:t>
      </w:r>
    </w:p>
    <w:p w14:paraId="0C845DDB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D1161BD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Jednocześnie Lexus wprowadził nowe podejście do obsługi klienta i serwisu, które nieustannie wyznacza standardy dla międzynarodowego przemysłu samochodowego. Zgodnie z tradycyjnymi zasadami japońskiej gościnności </w:t>
      </w:r>
      <w:proofErr w:type="spellStart"/>
      <w:r w:rsidRPr="00F3529C">
        <w:rPr>
          <w:rFonts w:ascii="NobelCE Lt" w:hAnsi="NobelCE Lt"/>
          <w:sz w:val="24"/>
          <w:szCs w:val="24"/>
        </w:rPr>
        <w:t>Omotenashi</w:t>
      </w:r>
      <w:proofErr w:type="spellEnd"/>
      <w:r w:rsidRPr="00F3529C">
        <w:rPr>
          <w:rFonts w:ascii="NobelCE Lt" w:hAnsi="NobelCE Lt"/>
          <w:sz w:val="24"/>
          <w:szCs w:val="24"/>
        </w:rPr>
        <w:t xml:space="preserve">, która wymaga, by </w:t>
      </w:r>
      <w:r w:rsidRPr="00F3529C">
        <w:rPr>
          <w:rFonts w:ascii="NobelCE Lt" w:hAnsi="NobelCE Lt"/>
          <w:sz w:val="24"/>
          <w:szCs w:val="24"/>
        </w:rPr>
        <w:lastRenderedPageBreak/>
        <w:t>traktować klienta z taką samą troską i uprzejmością jak gościa w domu, Lexus stawia najwyższy poziom relacji z klientem w sercu swojej marki.</w:t>
      </w:r>
    </w:p>
    <w:p w14:paraId="2EDF7EEE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4F15402F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Od samego początku Lexus wyznaczał własny kurs, zamiast podążać za ustalonymi normami rynkowymi, między innymi jako lider w rozwoju samoładującego się napędu hybrydowego. W 2005 roku wprowadził na rynek pierwszy na świecie luksusowy samochód hybrydowy, model RX </w:t>
      </w:r>
      <w:proofErr w:type="gramStart"/>
      <w:r w:rsidRPr="00F3529C">
        <w:rPr>
          <w:rFonts w:ascii="NobelCE Lt" w:hAnsi="NobelCE Lt"/>
          <w:sz w:val="24"/>
          <w:szCs w:val="24"/>
        </w:rPr>
        <w:t>400h,</w:t>
      </w:r>
      <w:proofErr w:type="gramEnd"/>
      <w:r w:rsidRPr="00F3529C">
        <w:rPr>
          <w:rFonts w:ascii="NobelCE Lt" w:hAnsi="NobelCE Lt"/>
          <w:sz w:val="24"/>
          <w:szCs w:val="24"/>
        </w:rPr>
        <w:t xml:space="preserve"> i od tego czasu nieustannie rozwija tę technologię, z generacji na generację uzyskując jednocześnie coraz lepsze osiągi i coraz niższe zużycie paliwa i emisję spalin, zapewniając przy tym coraz wyższy poziom komfortu jazdy bez hałasu i wibracji. Z miliona Lexusów, które wyjechały na drogi w Europie, nie mniej niż 45% stanowiły hybrydy. Obecnie wersje hybrydowe są dostępne dla wszystkich modeli Lexusa, a ich popularność stale rośnie – obecnie stanowią 96% całkowitej sprzedaży na rynkach Europy Zachodniej.</w:t>
      </w:r>
    </w:p>
    <w:p w14:paraId="7D4C2F1A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6EB7E517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Lexus uważnie śledził również zmieniające się potrzeby i preferencje klientów, opracowując nowe modele, które są dobrze dostosowane do trendów rynkowych. Skoncentrowano się na modelach SUV, których sprzedaż w Europie przekroczyła 550 tysięcy egzemplarzy. Obecnie gama SUV-ów obejmuje cztery samochody różnych wielkości – model RX, który zapoczątkował rynek luksusowych SUV-ów, specjalnie zaprojektowany siedmiomiejscowy RX L, średniej wielkości NX, oraz wprowadzony na rynek w 2019 roku, kompaktowy miejski </w:t>
      </w:r>
      <w:proofErr w:type="spellStart"/>
      <w:r w:rsidRPr="00F3529C">
        <w:rPr>
          <w:rFonts w:ascii="NobelCE Lt" w:hAnsi="NobelCE Lt"/>
          <w:sz w:val="24"/>
          <w:szCs w:val="24"/>
        </w:rPr>
        <w:t>crossover</w:t>
      </w:r>
      <w:proofErr w:type="spellEnd"/>
      <w:r w:rsidRPr="00F3529C">
        <w:rPr>
          <w:rFonts w:ascii="NobelCE Lt" w:hAnsi="NobelCE Lt"/>
          <w:sz w:val="24"/>
          <w:szCs w:val="24"/>
        </w:rPr>
        <w:t xml:space="preserve"> UX, który szybko stał się bestsellerem marki w Europie. W Rosji i na innych rynkach wschodnich* Lexus sprzedaje również dużego terenowego SUV-a LX i wytrzymałego GX. Wszystkie te modele stanowią obecnie ponad 80% sprzedaży Lexusa w Europie.</w:t>
      </w:r>
    </w:p>
    <w:p w14:paraId="1FDC8BE2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6AEF1F90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Dla kierowców, którzy szczególnie cenią świetną dynamikę jazdy i emocje za kierownicą, Lexus stworzył linię zorientowanych na osiągi modeli z oznaczeniem Lexus „F”, w tym ręcznie budowany, </w:t>
      </w:r>
      <w:proofErr w:type="gramStart"/>
      <w:r w:rsidRPr="00F3529C">
        <w:rPr>
          <w:rFonts w:ascii="NobelCE Lt" w:hAnsi="NobelCE Lt"/>
          <w:sz w:val="24"/>
          <w:szCs w:val="24"/>
        </w:rPr>
        <w:t>ultra-ekskluzywny</w:t>
      </w:r>
      <w:proofErr w:type="gramEnd"/>
      <w:r w:rsidRPr="00F3529C">
        <w:rPr>
          <w:rFonts w:ascii="NobelCE Lt" w:hAnsi="NobelCE Lt"/>
          <w:sz w:val="24"/>
          <w:szCs w:val="24"/>
        </w:rPr>
        <w:t xml:space="preserve"> </w:t>
      </w:r>
      <w:proofErr w:type="spellStart"/>
      <w:r w:rsidRPr="00F3529C">
        <w:rPr>
          <w:rFonts w:ascii="NobelCE Lt" w:hAnsi="NobelCE Lt"/>
          <w:sz w:val="24"/>
          <w:szCs w:val="24"/>
        </w:rPr>
        <w:t>supersamochód</w:t>
      </w:r>
      <w:proofErr w:type="spellEnd"/>
      <w:r w:rsidRPr="00F3529C">
        <w:rPr>
          <w:rFonts w:ascii="NobelCE Lt" w:hAnsi="NobelCE Lt"/>
          <w:sz w:val="24"/>
          <w:szCs w:val="24"/>
        </w:rPr>
        <w:t xml:space="preserve"> LFA z silnikiem V10 oraz coupe RC F, który dziś konkuruje na międzynarodowych wyścigach GT. Sportowy charakter tych wyjątkowych samochodów przenosi się także do standardowej gamy modeli w postaci usportowionych wersji F SPORT.</w:t>
      </w:r>
    </w:p>
    <w:p w14:paraId="729AB592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34348F5C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  <w:r w:rsidRPr="00F3529C">
        <w:rPr>
          <w:rFonts w:ascii="NobelCE Lt" w:hAnsi="NobelCE Lt"/>
          <w:sz w:val="24"/>
          <w:szCs w:val="24"/>
        </w:rPr>
        <w:t xml:space="preserve">Lexus ewoluuje również jako luksusowa marka poza światem motoryzacyjnym, promując doskonałość w rzemiośle, wspierając utalentowanych projektantów w międzynarodowym konkursie Lexus Design </w:t>
      </w:r>
      <w:proofErr w:type="spellStart"/>
      <w:r w:rsidRPr="00F3529C">
        <w:rPr>
          <w:rFonts w:ascii="NobelCE Lt" w:hAnsi="NobelCE Lt"/>
          <w:sz w:val="24"/>
          <w:szCs w:val="24"/>
        </w:rPr>
        <w:t>Award</w:t>
      </w:r>
      <w:proofErr w:type="spellEnd"/>
      <w:r w:rsidRPr="00F3529C">
        <w:rPr>
          <w:rFonts w:ascii="NobelCE Lt" w:hAnsi="NobelCE Lt"/>
          <w:sz w:val="24"/>
          <w:szCs w:val="24"/>
        </w:rPr>
        <w:t xml:space="preserve"> oraz pomagając swoim klientom odkrywać i cieszyć się niesamowitymi wrażeniami.</w:t>
      </w:r>
    </w:p>
    <w:p w14:paraId="5F6C96DC" w14:textId="77777777" w:rsidR="00F3529C" w:rsidRPr="00F3529C" w:rsidRDefault="00F3529C" w:rsidP="00F3529C">
      <w:pPr>
        <w:spacing w:after="0"/>
        <w:rPr>
          <w:rFonts w:ascii="NobelCE Lt" w:hAnsi="NobelCE Lt"/>
          <w:sz w:val="24"/>
          <w:szCs w:val="24"/>
        </w:rPr>
      </w:pPr>
    </w:p>
    <w:p w14:paraId="5D391733" w14:textId="6019BFE3" w:rsidR="00DD3B6A" w:rsidRDefault="00F3529C" w:rsidP="00F3529C">
      <w:pPr>
        <w:spacing w:after="0"/>
        <w:rPr>
          <w:rFonts w:ascii="NobelCE Lt" w:hAnsi="NobelCE Lt"/>
          <w:szCs w:val="21"/>
        </w:rPr>
      </w:pPr>
      <w:r w:rsidRPr="00F3529C">
        <w:rPr>
          <w:rFonts w:ascii="NobelCE Lt" w:hAnsi="NobelCE Lt"/>
          <w:szCs w:val="21"/>
        </w:rPr>
        <w:t>* Działalność Lexus Europe obejmuje Europę Zachodnią (kraje Unii Europejskiej, Wielką Brytanię, Norwegię, Islandię i Szwajcarię), a także następ</w:t>
      </w:r>
      <w:bookmarkStart w:id="1" w:name="_GoBack"/>
      <w:bookmarkEnd w:id="1"/>
      <w:r w:rsidRPr="00F3529C">
        <w:rPr>
          <w:rFonts w:ascii="NobelCE Lt" w:hAnsi="NobelCE Lt"/>
          <w:szCs w:val="21"/>
        </w:rPr>
        <w:t>ujące rynki wschodnie: Rosję, Ukrainę, Kazachstan, Kaukaz, Turcję i Izrael.</w:t>
      </w:r>
    </w:p>
    <w:p w14:paraId="56E358C1" w14:textId="6AD0D687" w:rsidR="00C3277C" w:rsidRP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p w14:paraId="68C2E0E4" w14:textId="173A81BE" w:rsid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4766"/>
      </w:tblGrid>
      <w:tr w:rsidR="00C3277C" w:rsidRPr="00C3277C" w14:paraId="789B7B7C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2256C51" w14:textId="77777777" w:rsidR="00C3277C" w:rsidRPr="00C3277C" w:rsidRDefault="00C3277C" w:rsidP="00C3277C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C3277C">
              <w:rPr>
                <w:rFonts w:ascii="NobelCE Lt" w:hAnsi="NobelCE Lt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B9510F" w14:textId="77777777" w:rsidR="00C3277C" w:rsidRPr="00C3277C" w:rsidRDefault="00C3277C" w:rsidP="00C3277C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C3277C">
              <w:rPr>
                <w:rFonts w:ascii="NobelCE Lt" w:hAnsi="NobelCE Lt"/>
                <w:b/>
                <w:bCs/>
                <w:sz w:val="24"/>
                <w:szCs w:val="24"/>
              </w:rPr>
              <w:t>Rok premiery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6B57133C" w14:textId="0689E753" w:rsidR="00C3277C" w:rsidRDefault="00C3277C" w:rsidP="00C3277C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C3277C">
              <w:rPr>
                <w:rFonts w:ascii="NobelCE Lt" w:hAnsi="NobelCE Lt"/>
                <w:b/>
                <w:bCs/>
                <w:sz w:val="24"/>
                <w:szCs w:val="24"/>
              </w:rPr>
              <w:t>Łączna sprzedaż</w:t>
            </w:r>
          </w:p>
          <w:p w14:paraId="60675E5A" w14:textId="2A2BBF4F" w:rsidR="00C3277C" w:rsidRPr="00C3277C" w:rsidRDefault="00C3277C" w:rsidP="00C3277C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b/>
                <w:bCs/>
                <w:sz w:val="24"/>
                <w:szCs w:val="24"/>
              </w:rPr>
            </w:pPr>
            <w:r w:rsidRPr="00C3277C">
              <w:rPr>
                <w:rFonts w:ascii="NobelCE Lt" w:hAnsi="NobelCE Lt"/>
                <w:b/>
                <w:bCs/>
                <w:sz w:val="24"/>
                <w:szCs w:val="24"/>
              </w:rPr>
              <w:t>(do 30 września 2020 roku)</w:t>
            </w:r>
          </w:p>
        </w:tc>
      </w:tr>
      <w:tr w:rsidR="00C3277C" w:rsidRPr="00C3277C" w14:paraId="5E198B2A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FDD32B6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LS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3EF7B42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1990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755878A7" w14:textId="275605DD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39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059</w:t>
            </w:r>
          </w:p>
        </w:tc>
      </w:tr>
      <w:tr w:rsidR="00C3277C" w:rsidRPr="00C3277C" w14:paraId="264D79B6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FCA4B3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GS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4723B8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1993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333228A1" w14:textId="1FC2AEAB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74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998</w:t>
            </w:r>
          </w:p>
        </w:tc>
      </w:tr>
      <w:tr w:rsidR="00C3277C" w:rsidRPr="00C3277C" w14:paraId="6F4AC1EA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5431110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IS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8F25366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1999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03765FED" w14:textId="14E1B29B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202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21</w:t>
            </w:r>
            <w:r>
              <w:rPr>
                <w:rFonts w:ascii="NobelCE Lt" w:hAnsi="NobelCE Lt"/>
                <w:sz w:val="24"/>
                <w:szCs w:val="24"/>
              </w:rPr>
              <w:t>0</w:t>
            </w:r>
          </w:p>
        </w:tc>
      </w:tr>
      <w:tr w:rsidR="00C3277C" w:rsidRPr="00C3277C" w14:paraId="7ADA37DE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1FE1E67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lastRenderedPageBreak/>
              <w:t>RX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CE11A94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2000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52C56C57" w14:textId="0A5EB56B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289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284</w:t>
            </w:r>
          </w:p>
        </w:tc>
      </w:tr>
      <w:tr w:rsidR="00C3277C" w:rsidRPr="00C3277C" w14:paraId="77211B35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09E3FEE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SC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2073FBC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2001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1B250AEE" w14:textId="29DAB77E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6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202</w:t>
            </w:r>
          </w:p>
        </w:tc>
      </w:tr>
      <w:tr w:rsidR="00C3277C" w:rsidRPr="00C3277C" w14:paraId="687DDFBB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C1DBCC9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LX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BE040AA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2002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551D84D6" w14:textId="4469F9E3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58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234</w:t>
            </w:r>
          </w:p>
        </w:tc>
      </w:tr>
      <w:tr w:rsidR="00C3277C" w:rsidRPr="00C3277C" w14:paraId="566E7914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FFCE88B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GX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471EDA4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2010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01B6A1EC" w14:textId="05260D48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14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862</w:t>
            </w:r>
          </w:p>
        </w:tc>
      </w:tr>
      <w:tr w:rsidR="00C3277C" w:rsidRPr="00C3277C" w14:paraId="0ED1E12A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727E3C2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ES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59851D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2010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055451C7" w14:textId="6584ED43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26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949</w:t>
            </w:r>
          </w:p>
        </w:tc>
      </w:tr>
      <w:tr w:rsidR="00C3277C" w:rsidRPr="00C3277C" w14:paraId="099C820F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4B7CE01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CT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A66C36F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2011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13644AF6" w14:textId="2C37BB1E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97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637</w:t>
            </w:r>
          </w:p>
        </w:tc>
      </w:tr>
      <w:tr w:rsidR="00C3277C" w:rsidRPr="00C3277C" w14:paraId="33CDC0F3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361FE3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LFA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722846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2011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257FD2FB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38</w:t>
            </w:r>
          </w:p>
        </w:tc>
      </w:tr>
      <w:tr w:rsidR="00C3277C" w:rsidRPr="00C3277C" w14:paraId="6117773A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76FF4FA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NX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161EB2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2014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74A46083" w14:textId="59E9F3D2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155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366</w:t>
            </w:r>
          </w:p>
        </w:tc>
      </w:tr>
      <w:tr w:rsidR="00C3277C" w:rsidRPr="00C3277C" w14:paraId="609FF3E1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C45CCCD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RC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CCEC16A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2015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22DF03C2" w14:textId="307BE732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7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083</w:t>
            </w:r>
          </w:p>
        </w:tc>
      </w:tr>
      <w:tr w:rsidR="00C3277C" w:rsidRPr="00C3277C" w14:paraId="39822CAF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35BE6BC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LC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7AFBEFF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2017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1C3F0A7D" w14:textId="48947D42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816</w:t>
            </w:r>
          </w:p>
        </w:tc>
      </w:tr>
      <w:tr w:rsidR="00C3277C" w:rsidRPr="00C3277C" w14:paraId="59478AEB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1F91628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UX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D3DB8A" w14:textId="77777777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2019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699A2342" w14:textId="219C54C8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32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972</w:t>
            </w:r>
          </w:p>
        </w:tc>
      </w:tr>
      <w:tr w:rsidR="00C3277C" w:rsidRPr="00C3277C" w14:paraId="01A2F230" w14:textId="77777777" w:rsidTr="00C3277C">
        <w:trPr>
          <w:trHeight w:val="320"/>
        </w:trPr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A94173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ŁĄCZNIE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04097B9" w14:textId="77777777" w:rsidR="00C3277C" w:rsidRPr="00C3277C" w:rsidRDefault="00C3277C" w:rsidP="00C3277C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 </w:t>
            </w:r>
          </w:p>
        </w:tc>
        <w:tc>
          <w:tcPr>
            <w:tcW w:w="4766" w:type="dxa"/>
            <w:shd w:val="clear" w:color="auto" w:fill="auto"/>
            <w:noWrap/>
            <w:vAlign w:val="bottom"/>
            <w:hideMark/>
          </w:tcPr>
          <w:p w14:paraId="4909377F" w14:textId="7866645B" w:rsidR="00C3277C" w:rsidRPr="00C3277C" w:rsidRDefault="00C3277C" w:rsidP="00C3277C">
            <w:pPr>
              <w:suppressAutoHyphens w:val="0"/>
              <w:spacing w:after="0" w:line="240" w:lineRule="auto"/>
              <w:jc w:val="right"/>
              <w:rPr>
                <w:rFonts w:ascii="NobelCE Lt" w:hAnsi="NobelCE Lt"/>
                <w:sz w:val="24"/>
                <w:szCs w:val="24"/>
              </w:rPr>
            </w:pPr>
            <w:r w:rsidRPr="00C3277C">
              <w:rPr>
                <w:rFonts w:ascii="NobelCE Lt" w:hAnsi="NobelCE Lt"/>
                <w:sz w:val="24"/>
                <w:szCs w:val="24"/>
              </w:rPr>
              <w:t>1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006</w:t>
            </w:r>
            <w:r>
              <w:rPr>
                <w:rFonts w:ascii="NobelCE Lt" w:hAnsi="NobelCE Lt"/>
                <w:sz w:val="24"/>
                <w:szCs w:val="24"/>
              </w:rPr>
              <w:t xml:space="preserve"> </w:t>
            </w:r>
            <w:r w:rsidRPr="00C3277C">
              <w:rPr>
                <w:rFonts w:ascii="NobelCE Lt" w:hAnsi="NobelCE Lt"/>
                <w:sz w:val="24"/>
                <w:szCs w:val="24"/>
              </w:rPr>
              <w:t>710</w:t>
            </w:r>
          </w:p>
        </w:tc>
      </w:tr>
    </w:tbl>
    <w:p w14:paraId="3A90139D" w14:textId="444D53B7" w:rsid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p w14:paraId="6591599D" w14:textId="1427B67A" w:rsid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p w14:paraId="52902303" w14:textId="7E9C08DF" w:rsid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p w14:paraId="430D4A99" w14:textId="77777777" w:rsidR="00C3277C" w:rsidRPr="00C3277C" w:rsidRDefault="00C3277C" w:rsidP="00F3529C">
      <w:pPr>
        <w:spacing w:after="0"/>
        <w:rPr>
          <w:rFonts w:ascii="NobelCE Lt" w:hAnsi="NobelCE Lt"/>
          <w:sz w:val="24"/>
          <w:szCs w:val="24"/>
        </w:rPr>
      </w:pPr>
    </w:p>
    <w:sectPr w:rsidR="00C3277C" w:rsidRPr="00C32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AFB7" w14:textId="77777777" w:rsidR="00643F88" w:rsidRDefault="00643F88">
      <w:pPr>
        <w:spacing w:after="0" w:line="240" w:lineRule="auto"/>
      </w:pPr>
      <w:r>
        <w:separator/>
      </w:r>
    </w:p>
  </w:endnote>
  <w:endnote w:type="continuationSeparator" w:id="0">
    <w:p w14:paraId="2D12CB37" w14:textId="77777777" w:rsidR="00643F88" w:rsidRDefault="0064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6646" w14:textId="77777777" w:rsidR="00643F88" w:rsidRDefault="00643F88">
      <w:pPr>
        <w:spacing w:after="0" w:line="240" w:lineRule="auto"/>
      </w:pPr>
      <w:r>
        <w:separator/>
      </w:r>
    </w:p>
  </w:footnote>
  <w:footnote w:type="continuationSeparator" w:id="0">
    <w:p w14:paraId="1D52773A" w14:textId="77777777" w:rsidR="00643F88" w:rsidRDefault="0064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F96533"/>
    <w:multiLevelType w:val="hybridMultilevel"/>
    <w:tmpl w:val="5A9E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830E6"/>
    <w:rsid w:val="00084875"/>
    <w:rsid w:val="000856C0"/>
    <w:rsid w:val="000961BF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77E24"/>
    <w:rsid w:val="00183845"/>
    <w:rsid w:val="0018428F"/>
    <w:rsid w:val="001861E2"/>
    <w:rsid w:val="001930DC"/>
    <w:rsid w:val="001D22AB"/>
    <w:rsid w:val="001D2EA6"/>
    <w:rsid w:val="001D32DE"/>
    <w:rsid w:val="001D3DD3"/>
    <w:rsid w:val="001D53BB"/>
    <w:rsid w:val="001D6746"/>
    <w:rsid w:val="001D7180"/>
    <w:rsid w:val="001E329D"/>
    <w:rsid w:val="001F3CE3"/>
    <w:rsid w:val="00200121"/>
    <w:rsid w:val="00211F65"/>
    <w:rsid w:val="00226DFC"/>
    <w:rsid w:val="0023043B"/>
    <w:rsid w:val="00233B3A"/>
    <w:rsid w:val="002340BA"/>
    <w:rsid w:val="002508E9"/>
    <w:rsid w:val="002561BA"/>
    <w:rsid w:val="0026195B"/>
    <w:rsid w:val="00266CD1"/>
    <w:rsid w:val="00271713"/>
    <w:rsid w:val="00275B46"/>
    <w:rsid w:val="002821E3"/>
    <w:rsid w:val="0028357F"/>
    <w:rsid w:val="00286C91"/>
    <w:rsid w:val="002901BF"/>
    <w:rsid w:val="00294132"/>
    <w:rsid w:val="002A5C2A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E6F7E"/>
    <w:rsid w:val="002F1393"/>
    <w:rsid w:val="002F1DF7"/>
    <w:rsid w:val="002F314F"/>
    <w:rsid w:val="00305592"/>
    <w:rsid w:val="00325464"/>
    <w:rsid w:val="003263EB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6953"/>
    <w:rsid w:val="003B7ABE"/>
    <w:rsid w:val="003C29A5"/>
    <w:rsid w:val="003C3342"/>
    <w:rsid w:val="003C3EE7"/>
    <w:rsid w:val="003C4B24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578D7"/>
    <w:rsid w:val="00474289"/>
    <w:rsid w:val="00474A5A"/>
    <w:rsid w:val="0049441A"/>
    <w:rsid w:val="004A42A9"/>
    <w:rsid w:val="004C2BF0"/>
    <w:rsid w:val="004D2E0A"/>
    <w:rsid w:val="004D4855"/>
    <w:rsid w:val="004E48D5"/>
    <w:rsid w:val="004E6217"/>
    <w:rsid w:val="004F5EDE"/>
    <w:rsid w:val="005045E7"/>
    <w:rsid w:val="00511232"/>
    <w:rsid w:val="005514E9"/>
    <w:rsid w:val="00556035"/>
    <w:rsid w:val="00574CA5"/>
    <w:rsid w:val="005810A8"/>
    <w:rsid w:val="00582594"/>
    <w:rsid w:val="00593D1A"/>
    <w:rsid w:val="00594E5C"/>
    <w:rsid w:val="005B5014"/>
    <w:rsid w:val="005C15A2"/>
    <w:rsid w:val="005C33D1"/>
    <w:rsid w:val="005D3609"/>
    <w:rsid w:val="005D6B93"/>
    <w:rsid w:val="005D7735"/>
    <w:rsid w:val="005F2F2A"/>
    <w:rsid w:val="005F6E1F"/>
    <w:rsid w:val="0061309C"/>
    <w:rsid w:val="006250EF"/>
    <w:rsid w:val="00632F7B"/>
    <w:rsid w:val="00634B3B"/>
    <w:rsid w:val="00643F88"/>
    <w:rsid w:val="00656513"/>
    <w:rsid w:val="0067112A"/>
    <w:rsid w:val="00682E8B"/>
    <w:rsid w:val="006837BB"/>
    <w:rsid w:val="00692FA1"/>
    <w:rsid w:val="00695C4F"/>
    <w:rsid w:val="006A70A3"/>
    <w:rsid w:val="006B3144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4030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2445"/>
    <w:rsid w:val="008A40AB"/>
    <w:rsid w:val="008A701D"/>
    <w:rsid w:val="008A7CDA"/>
    <w:rsid w:val="008B309F"/>
    <w:rsid w:val="008C514D"/>
    <w:rsid w:val="00913B09"/>
    <w:rsid w:val="009151E2"/>
    <w:rsid w:val="00915315"/>
    <w:rsid w:val="0091572C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A5AAA"/>
    <w:rsid w:val="00BB296D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3277C"/>
    <w:rsid w:val="00C54BB6"/>
    <w:rsid w:val="00C60785"/>
    <w:rsid w:val="00C64FD3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16410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3B6A"/>
    <w:rsid w:val="00DD6DE9"/>
    <w:rsid w:val="00DF0353"/>
    <w:rsid w:val="00DF71E5"/>
    <w:rsid w:val="00E02D6B"/>
    <w:rsid w:val="00E1607C"/>
    <w:rsid w:val="00E20475"/>
    <w:rsid w:val="00E26D83"/>
    <w:rsid w:val="00E2704A"/>
    <w:rsid w:val="00E270A8"/>
    <w:rsid w:val="00E37601"/>
    <w:rsid w:val="00E44D5B"/>
    <w:rsid w:val="00E45AA2"/>
    <w:rsid w:val="00E50CC7"/>
    <w:rsid w:val="00E561B6"/>
    <w:rsid w:val="00E6476E"/>
    <w:rsid w:val="00E65585"/>
    <w:rsid w:val="00E7637C"/>
    <w:rsid w:val="00E84BD9"/>
    <w:rsid w:val="00EA1BE0"/>
    <w:rsid w:val="00EA32EC"/>
    <w:rsid w:val="00EA3D2D"/>
    <w:rsid w:val="00EA678E"/>
    <w:rsid w:val="00EB1259"/>
    <w:rsid w:val="00EB1FE7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F14B45"/>
    <w:rsid w:val="00F21A8D"/>
    <w:rsid w:val="00F261B4"/>
    <w:rsid w:val="00F337C4"/>
    <w:rsid w:val="00F3529C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DD3B6A"/>
  </w:style>
  <w:style w:type="character" w:styleId="Nierozpoznanawzmianka">
    <w:name w:val="Unresolved Mention"/>
    <w:basedOn w:val="Domylnaczcionkaakapitu"/>
    <w:uiPriority w:val="99"/>
    <w:semiHidden/>
    <w:unhideWhenUsed/>
    <w:rsid w:val="00DD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B190E-A63D-ED46-96F5-3F86C245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2020-10-13T06:56:00Z</dcterms:created>
  <dcterms:modified xsi:type="dcterms:W3CDTF">2020-10-28T07:34:00Z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