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bookmarkStart w:id="0" w:name="_GoBack"/>
      <w:bookmarkEnd w:id="0"/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7E849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CE389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Pr="007C494A" w:rsidRDefault="00FF7FCC" w:rsidP="00BA0D15">
      <w:pPr>
        <w:ind w:right="39"/>
        <w:rPr>
          <w:rFonts w:ascii="NobelCE Lt" w:hAnsi="NobelCE Lt"/>
          <w:noProof/>
          <w:sz w:val="24"/>
          <w:szCs w:val="24"/>
        </w:rPr>
      </w:pPr>
    </w:p>
    <w:p w14:paraId="5381D380" w14:textId="1C75F27B" w:rsidR="00485DAB" w:rsidRPr="007C494A" w:rsidRDefault="00DC3584" w:rsidP="00485DAB">
      <w:pPr>
        <w:ind w:right="39"/>
        <w:rPr>
          <w:noProof/>
        </w:rPr>
      </w:pPr>
      <w:r>
        <w:rPr>
          <w:rFonts w:ascii="NobelCE Lt" w:hAnsi="NobelCE Lt"/>
          <w:noProof/>
          <w:sz w:val="24"/>
          <w:szCs w:val="24"/>
        </w:rPr>
        <w:t>2</w:t>
      </w:r>
      <w:r w:rsidR="00BA0D15" w:rsidRPr="007C494A">
        <w:rPr>
          <w:rFonts w:ascii="NobelCE Lt" w:hAnsi="NobelCE Lt"/>
          <w:noProof/>
          <w:sz w:val="24"/>
          <w:szCs w:val="24"/>
        </w:rPr>
        <w:t xml:space="preserve"> </w:t>
      </w:r>
      <w:r>
        <w:rPr>
          <w:rFonts w:ascii="NobelCE Lt" w:hAnsi="NobelCE Lt"/>
          <w:noProof/>
          <w:sz w:val="24"/>
          <w:szCs w:val="24"/>
        </w:rPr>
        <w:t>SIERPNIA</w:t>
      </w:r>
      <w:r w:rsidR="008220D3" w:rsidRPr="007C494A">
        <w:rPr>
          <w:rFonts w:ascii="NobelCE Lt" w:hAnsi="NobelCE Lt"/>
          <w:noProof/>
          <w:sz w:val="24"/>
          <w:szCs w:val="24"/>
        </w:rPr>
        <w:t xml:space="preserve"> 201</w:t>
      </w:r>
      <w:r w:rsidR="004357C8" w:rsidRPr="007C494A">
        <w:rPr>
          <w:rFonts w:ascii="NobelCE Lt" w:hAnsi="NobelCE Lt"/>
          <w:noProof/>
          <w:sz w:val="24"/>
          <w:szCs w:val="24"/>
        </w:rPr>
        <w:t>8</w:t>
      </w:r>
    </w:p>
    <w:p w14:paraId="745FFCDB" w14:textId="4FEEDF75" w:rsidR="008766FB" w:rsidRPr="007C494A" w:rsidRDefault="008766FB" w:rsidP="00624D8F">
      <w:pPr>
        <w:rPr>
          <w:rFonts w:ascii="NobelCE Lt" w:hAnsi="NobelCE Lt"/>
          <w:b/>
          <w:noProof/>
          <w:sz w:val="36"/>
          <w:szCs w:val="36"/>
        </w:rPr>
      </w:pPr>
    </w:p>
    <w:p w14:paraId="44646E84" w14:textId="5BF0911F" w:rsidR="00C43E50" w:rsidRDefault="00C43E50" w:rsidP="007C494A">
      <w:pPr>
        <w:rPr>
          <w:rFonts w:ascii="NobelCE Lt" w:hAnsi="NobelCE Lt"/>
          <w:b/>
          <w:noProof/>
          <w:sz w:val="36"/>
          <w:szCs w:val="36"/>
        </w:rPr>
      </w:pPr>
    </w:p>
    <w:p w14:paraId="6D1A339A" w14:textId="6A839318" w:rsidR="001D1BD2" w:rsidRPr="001D1BD2" w:rsidRDefault="00DC3584" w:rsidP="001D1BD2">
      <w:pPr>
        <w:rPr>
          <w:rFonts w:ascii="NobelCE Lt" w:hAnsi="NobelCE Lt"/>
          <w:b/>
          <w:noProof/>
          <w:sz w:val="36"/>
          <w:szCs w:val="36"/>
        </w:rPr>
      </w:pPr>
      <w:r w:rsidRPr="00DC3584">
        <w:rPr>
          <w:rFonts w:ascii="NobelCE Lt" w:hAnsi="NobelCE Lt"/>
          <w:b/>
          <w:noProof/>
          <w:sz w:val="36"/>
          <w:szCs w:val="36"/>
        </w:rPr>
        <w:t>LEXUS WPROWADZA OLŚNIEWAJĄCĄ EDYCJĘ COUPE LC</w:t>
      </w:r>
    </w:p>
    <w:p w14:paraId="3607BC81" w14:textId="77777777" w:rsidR="001D1BD2" w:rsidRPr="007C494A" w:rsidRDefault="001D1BD2" w:rsidP="001D1BD2">
      <w:pPr>
        <w:pStyle w:val="Akapitzlist2"/>
        <w:ind w:left="0"/>
        <w:jc w:val="both"/>
        <w:rPr>
          <w:rFonts w:ascii="NobelCE Lt" w:hAnsi="NobelCE Lt"/>
          <w:b/>
          <w:noProof/>
          <w:sz w:val="24"/>
          <w:szCs w:val="24"/>
          <w:lang w:val="pl-PL"/>
        </w:rPr>
      </w:pPr>
    </w:p>
    <w:p w14:paraId="61D760ED" w14:textId="77777777" w:rsidR="001D1BD2" w:rsidRPr="007C494A" w:rsidRDefault="001D1BD2" w:rsidP="001D1BD2">
      <w:pPr>
        <w:pStyle w:val="Akapitzlist2"/>
        <w:jc w:val="both"/>
        <w:rPr>
          <w:rFonts w:ascii="NobelCE Lt" w:hAnsi="NobelCE Lt"/>
          <w:b/>
          <w:noProof/>
          <w:sz w:val="24"/>
          <w:szCs w:val="24"/>
          <w:lang w:val="pl-PL"/>
        </w:rPr>
      </w:pPr>
    </w:p>
    <w:p w14:paraId="32FEFE98" w14:textId="77777777" w:rsidR="00DC3584" w:rsidRPr="00DC3584" w:rsidRDefault="00DC3584" w:rsidP="00DC3584">
      <w:pPr>
        <w:pStyle w:val="Akapitzlist7"/>
        <w:numPr>
          <w:ilvl w:val="0"/>
          <w:numId w:val="1"/>
        </w:numPr>
        <w:spacing w:after="0"/>
        <w:rPr>
          <w:rFonts w:ascii="NobelCE Lt" w:hAnsi="NobelCE Lt" w:cs="font376"/>
          <w:b/>
          <w:noProof/>
          <w:sz w:val="24"/>
          <w:szCs w:val="24"/>
          <w:lang w:val="pl-PL"/>
        </w:rPr>
      </w:pPr>
      <w:r w:rsidRPr="00DC3584">
        <w:rPr>
          <w:rFonts w:ascii="NobelCE Lt" w:hAnsi="NobelCE Lt" w:cs="font376"/>
          <w:b/>
          <w:noProof/>
          <w:sz w:val="24"/>
          <w:szCs w:val="24"/>
          <w:lang w:val="pl-PL"/>
        </w:rPr>
        <w:t>Wyjątkowa wersja LC Yellow Edition wzbogaca ofertę flagowego coupe</w:t>
      </w:r>
    </w:p>
    <w:p w14:paraId="7B79DBD1" w14:textId="77777777" w:rsidR="00DC3584" w:rsidRPr="00DC3584" w:rsidRDefault="00DC3584" w:rsidP="00DC3584">
      <w:pPr>
        <w:pStyle w:val="Akapitzlist7"/>
        <w:numPr>
          <w:ilvl w:val="0"/>
          <w:numId w:val="1"/>
        </w:numPr>
        <w:spacing w:after="0"/>
        <w:rPr>
          <w:rFonts w:ascii="NobelCE Lt" w:hAnsi="NobelCE Lt" w:cs="font376"/>
          <w:b/>
          <w:noProof/>
          <w:sz w:val="24"/>
          <w:szCs w:val="24"/>
          <w:lang w:val="pl-PL"/>
        </w:rPr>
      </w:pPr>
      <w:r w:rsidRPr="00DC3584">
        <w:rPr>
          <w:rFonts w:ascii="NobelCE Lt" w:hAnsi="NobelCE Lt" w:cs="font376"/>
          <w:b/>
          <w:noProof/>
          <w:sz w:val="24"/>
          <w:szCs w:val="24"/>
          <w:lang w:val="pl-PL"/>
        </w:rPr>
        <w:t>Nadwozie z żółtym lakierem Vibrant Flare Yellow i unikalne wykończenie wnętrza z użyciem wysokiej jakości materiałów, takich jak skóra semi-anilinowa i Alcantara w kolorach czarnym, białym i ciepłym żółtym</w:t>
      </w:r>
    </w:p>
    <w:p w14:paraId="0CF2CF86" w14:textId="77777777" w:rsidR="00DC3584" w:rsidRPr="00DC3584" w:rsidRDefault="00DC3584" w:rsidP="00DC3584">
      <w:pPr>
        <w:pStyle w:val="Akapitzlist7"/>
        <w:numPr>
          <w:ilvl w:val="0"/>
          <w:numId w:val="1"/>
        </w:numPr>
        <w:spacing w:after="0"/>
        <w:rPr>
          <w:rFonts w:ascii="NobelCE Lt" w:hAnsi="NobelCE Lt" w:cs="font376"/>
          <w:b/>
          <w:noProof/>
          <w:sz w:val="24"/>
          <w:szCs w:val="24"/>
          <w:lang w:val="pl-PL"/>
        </w:rPr>
      </w:pPr>
      <w:r w:rsidRPr="00DC3584">
        <w:rPr>
          <w:rFonts w:ascii="NobelCE Lt" w:hAnsi="NobelCE Lt" w:cs="font376"/>
          <w:b/>
          <w:noProof/>
          <w:sz w:val="24"/>
          <w:szCs w:val="24"/>
          <w:lang w:val="pl-PL"/>
        </w:rPr>
        <w:t>Pakiet wyposażenia Sport+ obejmuje system Lexus Dynamic Handling, układ kierowniczy o zmiennym przełożeniu (Variable Gear Ratio Steering), skrętne tylne koła, mechanizm różnicowy o ograniczonym uślizgu typu Torsen, a także 21-calowe, kute obręcze kół ze stopów lekkich oraz wykonane z kompozytów zbrojonych włóknem węglowym dach i aktywny tylny spojler</w:t>
      </w:r>
    </w:p>
    <w:p w14:paraId="5A0FFF0D" w14:textId="77777777" w:rsidR="00DC3584" w:rsidRPr="00DC3584" w:rsidRDefault="00DC3584" w:rsidP="00DC3584">
      <w:pPr>
        <w:pStyle w:val="Akapitzlist7"/>
        <w:numPr>
          <w:ilvl w:val="0"/>
          <w:numId w:val="1"/>
        </w:numPr>
        <w:spacing w:after="0"/>
        <w:rPr>
          <w:rFonts w:ascii="NobelCE Lt" w:hAnsi="NobelCE Lt" w:cs="font376"/>
          <w:b/>
          <w:noProof/>
          <w:sz w:val="24"/>
          <w:szCs w:val="24"/>
          <w:lang w:val="pl-PL"/>
        </w:rPr>
      </w:pPr>
      <w:r w:rsidRPr="00DC3584">
        <w:rPr>
          <w:rFonts w:ascii="NobelCE Lt" w:hAnsi="NobelCE Lt" w:cs="font376"/>
          <w:b/>
          <w:noProof/>
          <w:sz w:val="24"/>
          <w:szCs w:val="24"/>
          <w:lang w:val="pl-PL"/>
        </w:rPr>
        <w:t>Luksusowa kabina z wyświetlaczem projekcyjnym, podsufitką z alcantary i elektrycznie regulowanymi w 10 kierunkach przednimi fotelami pokrytymi skórą semi-anilinową</w:t>
      </w:r>
    </w:p>
    <w:p w14:paraId="3A38C830" w14:textId="77777777" w:rsidR="00DC3584" w:rsidRPr="001D1BD2" w:rsidRDefault="00DC3584" w:rsidP="00DC3584">
      <w:pPr>
        <w:pStyle w:val="Akapitzlist7"/>
        <w:spacing w:after="0"/>
        <w:rPr>
          <w:rFonts w:ascii="NobelCE Lt" w:hAnsi="NobelCE Lt" w:cs="font376"/>
          <w:b/>
          <w:noProof/>
          <w:sz w:val="24"/>
          <w:szCs w:val="24"/>
          <w:lang w:val="pl-PL"/>
        </w:rPr>
      </w:pPr>
    </w:p>
    <w:p w14:paraId="7EB31E4C" w14:textId="389E392E" w:rsidR="00C43E50" w:rsidRDefault="00C43E50" w:rsidP="007C494A">
      <w:pPr>
        <w:rPr>
          <w:rFonts w:ascii="NobelCE Lt" w:hAnsi="NobelCE Lt"/>
          <w:noProof/>
          <w:sz w:val="24"/>
          <w:szCs w:val="24"/>
        </w:rPr>
      </w:pPr>
    </w:p>
    <w:p w14:paraId="1AA41314" w14:textId="2B32233B" w:rsidR="00C43E50" w:rsidRDefault="00C43E50" w:rsidP="00C43E50">
      <w:pPr>
        <w:rPr>
          <w:rFonts w:ascii="NobelCE Lt" w:hAnsi="NobelCE Lt"/>
          <w:noProof/>
          <w:sz w:val="24"/>
          <w:szCs w:val="24"/>
        </w:rPr>
      </w:pPr>
    </w:p>
    <w:p w14:paraId="1265C0F2" w14:textId="77777777" w:rsidR="00DC3584" w:rsidRPr="00DC3584" w:rsidRDefault="00DC3584" w:rsidP="00DC3584">
      <w:pPr>
        <w:rPr>
          <w:rFonts w:ascii="NobelCE Lt" w:hAnsi="NobelCE Lt"/>
          <w:noProof/>
          <w:sz w:val="24"/>
          <w:szCs w:val="24"/>
        </w:rPr>
      </w:pPr>
      <w:r w:rsidRPr="00DC3584">
        <w:rPr>
          <w:rFonts w:ascii="NobelCE Lt" w:hAnsi="NobelCE Lt"/>
          <w:noProof/>
          <w:sz w:val="24"/>
          <w:szCs w:val="24"/>
        </w:rPr>
        <w:t>Lexus wprowadza do oferty swego flagowego coupe LC nową, olśniewającą wersję LC Yellow Edition. Zgodnie z nazwą, nadwozie samochodu ma jaskrawożółty kolor Flare Yellow, który znakomicie podkreśla wielokrotnie nagradzany design LC.</w:t>
      </w:r>
    </w:p>
    <w:p w14:paraId="64A7B24B" w14:textId="77777777" w:rsidR="00DC3584" w:rsidRPr="00DC3584" w:rsidRDefault="00DC3584" w:rsidP="00DC3584">
      <w:pPr>
        <w:rPr>
          <w:rFonts w:ascii="NobelCE Lt" w:hAnsi="NobelCE Lt"/>
          <w:noProof/>
          <w:sz w:val="24"/>
          <w:szCs w:val="24"/>
        </w:rPr>
      </w:pPr>
      <w:r w:rsidRPr="00DC3584">
        <w:rPr>
          <w:rFonts w:ascii="NobelCE Lt" w:hAnsi="NobelCE Lt"/>
          <w:noProof/>
          <w:sz w:val="24"/>
          <w:szCs w:val="24"/>
        </w:rPr>
        <w:t xml:space="preserve">Wyjątkową kolorystykę odnajdziemy również wewnątrz, gdzie czarne panele drzwi wzbogacone są wstawkami z alcantary o ciepłożółtej barwie. Taki sam odcień mają </w:t>
      </w:r>
      <w:r w:rsidRPr="00DC3584">
        <w:rPr>
          <w:rFonts w:ascii="NobelCE Lt" w:hAnsi="NobelCE Lt"/>
          <w:noProof/>
          <w:sz w:val="24"/>
          <w:szCs w:val="24"/>
        </w:rPr>
        <w:lastRenderedPageBreak/>
        <w:t>także kontrastowe ściegi białej tapicerki foteli, tablicy przyrządów, kierownicy i podłokietnika środkowej konsoli, dając przykład doskonałości mistrzów rzemiosła takumi. Luksusowa kabina wyposażona jest w wyświetlacz projekcyjny, podsufitkę z alcantary i elektrycznie regulowane w 10 kierunkach przednie fotele, pokryte skórą semi-anilinową.</w:t>
      </w:r>
    </w:p>
    <w:p w14:paraId="106FD1CC" w14:textId="682D60A2" w:rsidR="00DC3584" w:rsidRPr="00DC3584" w:rsidRDefault="00DC3584" w:rsidP="00DC3584">
      <w:pPr>
        <w:rPr>
          <w:rFonts w:ascii="NobelCE Lt" w:hAnsi="NobelCE Lt"/>
          <w:noProof/>
          <w:sz w:val="24"/>
          <w:szCs w:val="24"/>
        </w:rPr>
      </w:pPr>
      <w:r w:rsidRPr="00DC3584">
        <w:rPr>
          <w:rFonts w:ascii="NobelCE Lt" w:hAnsi="NobelCE Lt"/>
          <w:noProof/>
          <w:sz w:val="24"/>
          <w:szCs w:val="24"/>
        </w:rPr>
        <w:t>Oprócz przyciągającego wzrok wyglądu, LC Yellow Edition wyróżnia się też zaawansowanymi rozwiązaniami zapewniającymi doskonałe własności jezdne, zawartymi w pakiecie Sport+. Stabilność oraz pewność i bezpieczeństwo prowadzenia zapewnia system Lexus Dynamic Handling oraz układ kierowniczy o zmiennym przełożeniu (VGRS, Variable Gear Ratio Steering) ze skrętnymi kołami tylnymi i niezależnym kątem skrętu kół przednich i tylnych, a także mechanizm różnicowy o ogranic</w:t>
      </w:r>
      <w:r>
        <w:rPr>
          <w:rFonts w:ascii="NobelCE Lt" w:hAnsi="NobelCE Lt"/>
          <w:noProof/>
          <w:sz w:val="24"/>
          <w:szCs w:val="24"/>
        </w:rPr>
        <w:t>zonym uślizgu typu Torsen. Z</w:t>
      </w:r>
      <w:r w:rsidRPr="00DC3584">
        <w:rPr>
          <w:rFonts w:ascii="NobelCE Lt" w:hAnsi="NobelCE Lt"/>
          <w:noProof/>
          <w:sz w:val="24"/>
          <w:szCs w:val="24"/>
        </w:rPr>
        <w:t>aawansowane systemy pozwalają kierowcy w pełni wykorzystać potencjał wykorzystywanej przez LC platformy GA-L z jej doskonałym zrównoważeniem i niskim położeniem środka masy.</w:t>
      </w:r>
    </w:p>
    <w:p w14:paraId="2CD03DD3" w14:textId="77777777" w:rsidR="00DC3584" w:rsidRPr="00DC3584" w:rsidRDefault="00DC3584" w:rsidP="00DC3584">
      <w:pPr>
        <w:rPr>
          <w:rFonts w:ascii="NobelCE Lt" w:hAnsi="NobelCE Lt"/>
          <w:noProof/>
          <w:sz w:val="24"/>
          <w:szCs w:val="24"/>
        </w:rPr>
      </w:pPr>
      <w:r w:rsidRPr="00DC3584">
        <w:rPr>
          <w:rFonts w:ascii="NobelCE Lt" w:hAnsi="NobelCE Lt"/>
          <w:noProof/>
          <w:sz w:val="24"/>
          <w:szCs w:val="24"/>
        </w:rPr>
        <w:t>Samochód wyróżniają także 21-calowe, kute obręcze kół ze stopów lekkich oraz wykonane z mocnych, a jednocześnie bardzo lekkich kompozytów zbrojonych włóknem węglowym dach i aktywny tylny spojler. Spojler odgrywa ważną rolę w utrzymaniu stabilności pojazdu, wysuwając się automatycznie po przekroczeniu prędkości 80 km/h.</w:t>
      </w:r>
    </w:p>
    <w:p w14:paraId="4BE0A2C4" w14:textId="761F7591" w:rsidR="00DC3584" w:rsidRPr="00DC3584" w:rsidRDefault="00DC3584" w:rsidP="00DC3584">
      <w:pPr>
        <w:rPr>
          <w:rFonts w:ascii="NobelCE Lt" w:hAnsi="NobelCE Lt"/>
          <w:noProof/>
          <w:sz w:val="24"/>
          <w:szCs w:val="24"/>
        </w:rPr>
      </w:pPr>
      <w:r w:rsidRPr="00DC3584">
        <w:rPr>
          <w:rFonts w:ascii="NobelCE Lt" w:hAnsi="NobelCE Lt"/>
          <w:noProof/>
          <w:sz w:val="24"/>
          <w:szCs w:val="24"/>
        </w:rPr>
        <w:t>W wersji Yellow Edition dostępne będą zarówno samochody LC 500h z rewolucyjną hybrydową jednostką napędową Lexus Multi Stage Hybrid System, jak i LC 500 z wolnossącym silnikiem V8 o mocy maksymalnej 4</w:t>
      </w:r>
      <w:r w:rsidR="00F25172">
        <w:rPr>
          <w:rFonts w:ascii="NobelCE Lt" w:hAnsi="NobelCE Lt"/>
          <w:noProof/>
          <w:sz w:val="24"/>
          <w:szCs w:val="24"/>
        </w:rPr>
        <w:t>64</w:t>
      </w:r>
      <w:r w:rsidRPr="00DC3584">
        <w:rPr>
          <w:rFonts w:ascii="NobelCE Lt" w:hAnsi="NobelCE Lt"/>
          <w:noProof/>
          <w:sz w:val="24"/>
          <w:szCs w:val="24"/>
        </w:rPr>
        <w:t xml:space="preserve"> KM wg DIN i 10-biegową przekładnią automatyczną. </w:t>
      </w:r>
    </w:p>
    <w:p w14:paraId="29045F05" w14:textId="2FE11991" w:rsidR="00C43E50" w:rsidRPr="007C494A" w:rsidRDefault="00DC3584" w:rsidP="00DC3584">
      <w:pPr>
        <w:rPr>
          <w:rFonts w:ascii="NobelCE Lt" w:hAnsi="NobelCE Lt"/>
          <w:noProof/>
          <w:sz w:val="24"/>
          <w:szCs w:val="24"/>
        </w:rPr>
      </w:pPr>
      <w:r w:rsidRPr="00DC3584">
        <w:rPr>
          <w:rFonts w:ascii="NobelCE Lt" w:hAnsi="NobelCE Lt"/>
          <w:noProof/>
          <w:sz w:val="24"/>
          <w:szCs w:val="24"/>
        </w:rPr>
        <w:t xml:space="preserve">LC Yellow Edition będzie prezentowany na stoisku Lexusa na październikowym salonie samochodowym w Paryżu. </w:t>
      </w:r>
    </w:p>
    <w:sectPr w:rsidR="00C43E50" w:rsidRPr="007C49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A00C6" w14:textId="77777777" w:rsidR="006B35CE" w:rsidRDefault="006B35CE">
      <w:pPr>
        <w:spacing w:after="0" w:line="240" w:lineRule="auto"/>
      </w:pPr>
      <w:r>
        <w:separator/>
      </w:r>
    </w:p>
  </w:endnote>
  <w:endnote w:type="continuationSeparator" w:id="0">
    <w:p w14:paraId="60799054" w14:textId="77777777" w:rsidR="006B35CE" w:rsidRDefault="006B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nt376">
    <w:altName w:val="Cambria"/>
    <w:charset w:val="EE"/>
    <w:family w:val="auto"/>
    <w:pitch w:val="variable"/>
  </w:font>
  <w:font w:name="font395">
    <w:altName w:val="Calibri"/>
    <w:charset w:val="EE"/>
    <w:family w:val="auto"/>
    <w:pitch w:val="variable"/>
  </w:font>
  <w:font w:name="font420">
    <w:altName w:val="Calibri"/>
    <w:charset w:val="EE"/>
    <w:family w:val="auto"/>
    <w:pitch w:val="variable"/>
  </w:font>
  <w:font w:name="font305">
    <w:altName w:val="Times New Roman"/>
    <w:charset w:val="EE"/>
    <w:family w:val="auto"/>
    <w:pitch w:val="variable"/>
  </w:font>
  <w:font w:name="Nobel-Regular">
    <w:altName w:val="Times New Roman"/>
    <w:charset w:val="EE"/>
    <w:family w:val="roman"/>
    <w:pitch w:val="variable"/>
  </w:font>
  <w:font w:name="NobelCE Lt">
    <w:altName w:val="Cambria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4A05D" w14:textId="77777777" w:rsidR="00492A00" w:rsidRDefault="00492A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191AC26A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DC3584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DC3584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8C950" w14:textId="77777777" w:rsidR="006B35CE" w:rsidRDefault="006B35CE">
      <w:pPr>
        <w:spacing w:after="0" w:line="240" w:lineRule="auto"/>
      </w:pPr>
      <w:r>
        <w:separator/>
      </w:r>
    </w:p>
  </w:footnote>
  <w:footnote w:type="continuationSeparator" w:id="0">
    <w:p w14:paraId="19F12920" w14:textId="77777777" w:rsidR="006B35CE" w:rsidRDefault="006B3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4D027" w14:textId="77777777" w:rsidR="00492A00" w:rsidRDefault="00492A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F4C55"/>
    <w:multiLevelType w:val="multilevel"/>
    <w:tmpl w:val="4CD85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896"/>
    <w:rsid w:val="000002EA"/>
    <w:rsid w:val="00001458"/>
    <w:rsid w:val="00054FE1"/>
    <w:rsid w:val="00061B5B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55803"/>
    <w:rsid w:val="00155D01"/>
    <w:rsid w:val="0019314A"/>
    <w:rsid w:val="001D1BD2"/>
    <w:rsid w:val="001D2EA6"/>
    <w:rsid w:val="001D32DE"/>
    <w:rsid w:val="001D3DD3"/>
    <w:rsid w:val="001D53BB"/>
    <w:rsid w:val="001D7180"/>
    <w:rsid w:val="001F3CE3"/>
    <w:rsid w:val="001F59C8"/>
    <w:rsid w:val="0021024C"/>
    <w:rsid w:val="0023043B"/>
    <w:rsid w:val="00241BAA"/>
    <w:rsid w:val="00271713"/>
    <w:rsid w:val="0028357F"/>
    <w:rsid w:val="002901BF"/>
    <w:rsid w:val="002D06D2"/>
    <w:rsid w:val="003263EB"/>
    <w:rsid w:val="00344833"/>
    <w:rsid w:val="00354709"/>
    <w:rsid w:val="00384019"/>
    <w:rsid w:val="003846D5"/>
    <w:rsid w:val="0039406F"/>
    <w:rsid w:val="003A4792"/>
    <w:rsid w:val="003B07EF"/>
    <w:rsid w:val="003B5A49"/>
    <w:rsid w:val="003C3342"/>
    <w:rsid w:val="003D43EB"/>
    <w:rsid w:val="003F002F"/>
    <w:rsid w:val="0040361B"/>
    <w:rsid w:val="00425582"/>
    <w:rsid w:val="0042573B"/>
    <w:rsid w:val="004357C8"/>
    <w:rsid w:val="00436559"/>
    <w:rsid w:val="00474289"/>
    <w:rsid w:val="00485DAB"/>
    <w:rsid w:val="00492A00"/>
    <w:rsid w:val="004D2E0A"/>
    <w:rsid w:val="004D4855"/>
    <w:rsid w:val="005810A8"/>
    <w:rsid w:val="005B5014"/>
    <w:rsid w:val="005C3455"/>
    <w:rsid w:val="005F6E1F"/>
    <w:rsid w:val="00624D8F"/>
    <w:rsid w:val="00632F7B"/>
    <w:rsid w:val="006837BB"/>
    <w:rsid w:val="00685181"/>
    <w:rsid w:val="006B06AE"/>
    <w:rsid w:val="006B35CE"/>
    <w:rsid w:val="006C2773"/>
    <w:rsid w:val="006C6896"/>
    <w:rsid w:val="006D16BB"/>
    <w:rsid w:val="006D49C0"/>
    <w:rsid w:val="006D7FD0"/>
    <w:rsid w:val="006E2104"/>
    <w:rsid w:val="006F678E"/>
    <w:rsid w:val="00713956"/>
    <w:rsid w:val="007305E7"/>
    <w:rsid w:val="00735F13"/>
    <w:rsid w:val="00762AE1"/>
    <w:rsid w:val="0076597F"/>
    <w:rsid w:val="00783F22"/>
    <w:rsid w:val="00793C7E"/>
    <w:rsid w:val="00795F71"/>
    <w:rsid w:val="007B1121"/>
    <w:rsid w:val="007C494A"/>
    <w:rsid w:val="007C514B"/>
    <w:rsid w:val="007D3C7D"/>
    <w:rsid w:val="007E4F46"/>
    <w:rsid w:val="007E6314"/>
    <w:rsid w:val="007F0F1A"/>
    <w:rsid w:val="007F50FB"/>
    <w:rsid w:val="0080021E"/>
    <w:rsid w:val="00811464"/>
    <w:rsid w:val="008220D3"/>
    <w:rsid w:val="00827693"/>
    <w:rsid w:val="00827D4C"/>
    <w:rsid w:val="008436C7"/>
    <w:rsid w:val="0085713B"/>
    <w:rsid w:val="008766FB"/>
    <w:rsid w:val="00891722"/>
    <w:rsid w:val="008927F6"/>
    <w:rsid w:val="008A7CDA"/>
    <w:rsid w:val="008B309F"/>
    <w:rsid w:val="00931D13"/>
    <w:rsid w:val="00943225"/>
    <w:rsid w:val="00954746"/>
    <w:rsid w:val="009632DF"/>
    <w:rsid w:val="009722FD"/>
    <w:rsid w:val="00976A76"/>
    <w:rsid w:val="00984E98"/>
    <w:rsid w:val="0098539C"/>
    <w:rsid w:val="009A7104"/>
    <w:rsid w:val="009B312F"/>
    <w:rsid w:val="00A21CDD"/>
    <w:rsid w:val="00A3522C"/>
    <w:rsid w:val="00A366EB"/>
    <w:rsid w:val="00A73561"/>
    <w:rsid w:val="00A93985"/>
    <w:rsid w:val="00AA4CB0"/>
    <w:rsid w:val="00AB3298"/>
    <w:rsid w:val="00AB32ED"/>
    <w:rsid w:val="00AD3013"/>
    <w:rsid w:val="00AF57E3"/>
    <w:rsid w:val="00AF6F93"/>
    <w:rsid w:val="00B247DA"/>
    <w:rsid w:val="00B33055"/>
    <w:rsid w:val="00B439B6"/>
    <w:rsid w:val="00B445D9"/>
    <w:rsid w:val="00B53960"/>
    <w:rsid w:val="00B54AF5"/>
    <w:rsid w:val="00B6446C"/>
    <w:rsid w:val="00B65CC3"/>
    <w:rsid w:val="00B751BB"/>
    <w:rsid w:val="00BA04A6"/>
    <w:rsid w:val="00BA0D15"/>
    <w:rsid w:val="00BE1228"/>
    <w:rsid w:val="00BE53D5"/>
    <w:rsid w:val="00C00D21"/>
    <w:rsid w:val="00C00F16"/>
    <w:rsid w:val="00C05CA1"/>
    <w:rsid w:val="00C25F4E"/>
    <w:rsid w:val="00C43E50"/>
    <w:rsid w:val="00CC1684"/>
    <w:rsid w:val="00CC30AF"/>
    <w:rsid w:val="00CD062F"/>
    <w:rsid w:val="00CE2770"/>
    <w:rsid w:val="00D22134"/>
    <w:rsid w:val="00D31769"/>
    <w:rsid w:val="00D61F12"/>
    <w:rsid w:val="00D63F1F"/>
    <w:rsid w:val="00D74E33"/>
    <w:rsid w:val="00DC3584"/>
    <w:rsid w:val="00DD6DE9"/>
    <w:rsid w:val="00DE1272"/>
    <w:rsid w:val="00DF71E5"/>
    <w:rsid w:val="00E26D83"/>
    <w:rsid w:val="00E5040F"/>
    <w:rsid w:val="00E50CC7"/>
    <w:rsid w:val="00EC4B24"/>
    <w:rsid w:val="00EE121F"/>
    <w:rsid w:val="00EE273A"/>
    <w:rsid w:val="00EE7653"/>
    <w:rsid w:val="00F14B45"/>
    <w:rsid w:val="00F25172"/>
    <w:rsid w:val="00F261B4"/>
    <w:rsid w:val="00F7100B"/>
    <w:rsid w:val="00F7311D"/>
    <w:rsid w:val="00FC6D50"/>
    <w:rsid w:val="00FD2E9E"/>
    <w:rsid w:val="00FE1507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F2249E95-DC18-4CAE-99EE-520AE651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Akapitzlist2">
    <w:name w:val="Akapit z listą2"/>
    <w:basedOn w:val="Normalny"/>
    <w:qFormat/>
    <w:rsid w:val="00DE1272"/>
    <w:pPr>
      <w:ind w:left="720"/>
      <w:contextualSpacing/>
    </w:pPr>
    <w:rPr>
      <w:rFonts w:ascii="Calibri" w:eastAsia="Calibri" w:hAnsi="Calibri" w:cs="font376"/>
      <w:sz w:val="22"/>
      <w:szCs w:val="22"/>
      <w:lang w:val="en-GB" w:eastAsia="en-US"/>
    </w:rPr>
  </w:style>
  <w:style w:type="paragraph" w:customStyle="1" w:styleId="Akapitzlist3">
    <w:name w:val="Akapit z listą3"/>
    <w:basedOn w:val="Normalny"/>
    <w:rsid w:val="009722FD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6F93"/>
    <w:rPr>
      <w:color w:val="808080"/>
      <w:shd w:val="clear" w:color="auto" w:fill="E6E6E6"/>
    </w:rPr>
  </w:style>
  <w:style w:type="character" w:customStyle="1" w:styleId="FootnoteCharacters">
    <w:name w:val="Footnote Characters"/>
    <w:basedOn w:val="Domylnaczcionkaakapitu"/>
    <w:rsid w:val="00D31769"/>
    <w:rPr>
      <w:vertAlign w:val="superscript"/>
    </w:rPr>
  </w:style>
  <w:style w:type="paragraph" w:customStyle="1" w:styleId="Akapitzlist4">
    <w:name w:val="Akapit z listą4"/>
    <w:basedOn w:val="Normalny"/>
    <w:rsid w:val="00D31769"/>
    <w:pPr>
      <w:ind w:left="720"/>
      <w:contextualSpacing/>
    </w:pPr>
    <w:rPr>
      <w:rFonts w:ascii="Calibri" w:eastAsia="Calibri" w:hAnsi="Calibri" w:cs="font395"/>
      <w:sz w:val="22"/>
      <w:szCs w:val="22"/>
      <w:lang w:val="en-GB" w:eastAsia="en-US"/>
    </w:rPr>
  </w:style>
  <w:style w:type="paragraph" w:styleId="Tekstprzypisudolnego">
    <w:name w:val="footnote text"/>
    <w:basedOn w:val="Normalny"/>
    <w:link w:val="TekstprzypisudolnegoZnak"/>
    <w:rsid w:val="00D31769"/>
    <w:pPr>
      <w:spacing w:after="0" w:line="240" w:lineRule="auto"/>
    </w:pPr>
    <w:rPr>
      <w:rFonts w:ascii="Calibri" w:eastAsia="Calibri" w:hAnsi="Calibri" w:cs="font395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769"/>
    <w:rPr>
      <w:rFonts w:ascii="Calibri" w:eastAsia="Calibri" w:hAnsi="Calibri" w:cs="font395"/>
      <w:lang w:eastAsia="en-US"/>
    </w:rPr>
  </w:style>
  <w:style w:type="paragraph" w:customStyle="1" w:styleId="Akapitzlist5">
    <w:name w:val="Akapit z listą5"/>
    <w:basedOn w:val="Normalny"/>
    <w:rsid w:val="005C3455"/>
    <w:pPr>
      <w:ind w:left="720"/>
      <w:contextualSpacing/>
    </w:pPr>
    <w:rPr>
      <w:rFonts w:ascii="Calibri" w:eastAsia="Calibri" w:hAnsi="Calibri" w:cs="font420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rsid w:val="007C494A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kapitzlist7">
    <w:name w:val="Akapit z listą7"/>
    <w:basedOn w:val="Normalny"/>
    <w:rsid w:val="001D1BD2"/>
    <w:pPr>
      <w:ind w:left="720"/>
      <w:contextualSpacing/>
    </w:pPr>
    <w:rPr>
      <w:rFonts w:ascii="Calibri" w:eastAsia="Calibri" w:hAnsi="Calibri" w:cs="font30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A9BE2-3671-4013-8B3D-59E2922A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2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monika nimszke</cp:lastModifiedBy>
  <cp:revision>4</cp:revision>
  <cp:lastPrinted>2018-08-03T09:49:00Z</cp:lastPrinted>
  <dcterms:created xsi:type="dcterms:W3CDTF">2018-07-31T10:29:00Z</dcterms:created>
  <dcterms:modified xsi:type="dcterms:W3CDTF">2018-08-03T09:50:00Z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