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16FB" w14:textId="77777777" w:rsidR="002B27C6" w:rsidRPr="00976A76" w:rsidRDefault="002B27C6" w:rsidP="002B27C6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E89C7" wp14:editId="211847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6629B" w14:textId="77777777" w:rsidR="002B27C6" w:rsidRDefault="002B27C6" w:rsidP="002B2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E89C7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3966629B" w14:textId="77777777" w:rsidR="002B27C6" w:rsidRDefault="002B27C6" w:rsidP="002B27C6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35E8B" wp14:editId="39CEBD08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70F68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6C122" wp14:editId="0E9C1E6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A38D2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6472239" wp14:editId="41F89F27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CF9BD" w14:textId="77777777" w:rsidR="002B27C6" w:rsidRDefault="002B27C6" w:rsidP="002B27C6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136582EE" w14:textId="77777777" w:rsidR="002B27C6" w:rsidRDefault="002B27C6" w:rsidP="002B27C6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722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7DCF9BD" w14:textId="77777777" w:rsidR="002B27C6" w:rsidRDefault="002B27C6" w:rsidP="002B27C6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136582EE" w14:textId="77777777" w:rsidR="002B27C6" w:rsidRDefault="002B27C6" w:rsidP="002B27C6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79FE68B7" wp14:editId="3004349C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35905E" w14:textId="77777777" w:rsidR="002B27C6" w:rsidRPr="00976A76" w:rsidRDefault="002B27C6" w:rsidP="002B27C6">
      <w:pPr>
        <w:ind w:right="39"/>
        <w:jc w:val="both"/>
      </w:pPr>
    </w:p>
    <w:p w14:paraId="39F069A6" w14:textId="77777777" w:rsidR="002B27C6" w:rsidRPr="00976A76" w:rsidRDefault="002B27C6" w:rsidP="002B27C6">
      <w:pPr>
        <w:ind w:right="39"/>
        <w:jc w:val="both"/>
      </w:pPr>
    </w:p>
    <w:p w14:paraId="5711D6C0" w14:textId="77777777" w:rsidR="002B27C6" w:rsidRPr="00976A76" w:rsidRDefault="002B27C6" w:rsidP="002B27C6">
      <w:pPr>
        <w:ind w:right="39"/>
        <w:jc w:val="both"/>
      </w:pPr>
    </w:p>
    <w:p w14:paraId="62686E99" w14:textId="77777777" w:rsidR="002B27C6" w:rsidRPr="00976A76" w:rsidRDefault="002B27C6" w:rsidP="002B27C6">
      <w:pPr>
        <w:ind w:right="39"/>
        <w:jc w:val="both"/>
      </w:pPr>
    </w:p>
    <w:p w14:paraId="5B67BE2B" w14:textId="77777777" w:rsidR="002B27C6" w:rsidRDefault="002B27C6" w:rsidP="002B27C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5F7689D" w14:textId="77777777" w:rsidR="002B27C6" w:rsidRDefault="002B27C6" w:rsidP="002B27C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F752593" w14:textId="77777777" w:rsidR="002B27C6" w:rsidRDefault="002B27C6" w:rsidP="002B27C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C2F70BC" w14:textId="77777777" w:rsidR="002B27C6" w:rsidRPr="007937F8" w:rsidRDefault="002B27C6" w:rsidP="002B27C6">
      <w:pPr>
        <w:ind w:right="39"/>
        <w:jc w:val="both"/>
      </w:pPr>
      <w:r>
        <w:rPr>
          <w:rFonts w:ascii="NobelCE Lt" w:hAnsi="NobelCE Lt"/>
          <w:sz w:val="24"/>
          <w:szCs w:val="24"/>
        </w:rPr>
        <w:t xml:space="preserve">23 CZERWCA </w:t>
      </w:r>
      <w:r w:rsidRPr="007937F8">
        <w:rPr>
          <w:rFonts w:ascii="NobelCE Lt" w:hAnsi="NobelCE Lt"/>
          <w:sz w:val="24"/>
          <w:szCs w:val="24"/>
        </w:rPr>
        <w:t>20</w:t>
      </w:r>
      <w:r>
        <w:rPr>
          <w:rFonts w:ascii="NobelCE Lt" w:hAnsi="NobelCE Lt"/>
          <w:sz w:val="24"/>
          <w:szCs w:val="24"/>
        </w:rPr>
        <w:t>23</w:t>
      </w:r>
    </w:p>
    <w:p w14:paraId="4304D1B6" w14:textId="77777777" w:rsidR="002B27C6" w:rsidRDefault="002B27C6" w:rsidP="002B27C6">
      <w:pPr>
        <w:jc w:val="both"/>
        <w:rPr>
          <w:rFonts w:ascii="NobelCE Lt" w:hAnsi="NobelCE Lt"/>
          <w:b/>
          <w:sz w:val="36"/>
          <w:szCs w:val="36"/>
        </w:rPr>
      </w:pPr>
    </w:p>
    <w:p w14:paraId="2AEDFEDF" w14:textId="77777777" w:rsidR="002B27C6" w:rsidRPr="00F35AB7" w:rsidRDefault="002B27C6" w:rsidP="002B27C6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GLOBALNYM PARTNEREM ATP</w:t>
      </w:r>
    </w:p>
    <w:bookmarkEnd w:id="0"/>
    <w:p w14:paraId="07577CFE" w14:textId="77777777" w:rsidR="002B27C6" w:rsidRDefault="002B27C6" w:rsidP="002B27C6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4262D6CB" w14:textId="77777777" w:rsidR="002B27C6" w:rsidRPr="0061383D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D6FE43" w14:textId="77777777" w:rsidR="002B27C6" w:rsidRDefault="002B27C6" w:rsidP="002B27C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został oficjalnym partnerem prestiżowego cyklu tenisowego ATP Tour</w:t>
      </w:r>
    </w:p>
    <w:p w14:paraId="26E54C59" w14:textId="77777777" w:rsidR="002B27C6" w:rsidRDefault="002B27C6" w:rsidP="002B27C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Elektryczne i hybrydowe Lexusy do dyspozycji tenisowych gwiazd</w:t>
      </w:r>
    </w:p>
    <w:p w14:paraId="45AEBD69" w14:textId="17FB3896" w:rsidR="002B27C6" w:rsidRPr="0050432E" w:rsidRDefault="002B27C6" w:rsidP="002B27C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od lat jest zaangażowany w tenis na najwyższym poziomie</w:t>
      </w:r>
    </w:p>
    <w:p w14:paraId="5BA53F22" w14:textId="77777777" w:rsidR="002B27C6" w:rsidRDefault="002B27C6" w:rsidP="002B27C6"/>
    <w:p w14:paraId="6D73DAF5" w14:textId="77777777" w:rsidR="002B27C6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A3E085" w14:textId="45A59C9A" w:rsidR="002B27C6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zawarł wieloletnią umowę z ATP i został Partnerem Platynowym oraz Oficjalnym Partnerem Motoryzacyjnym najważniejszego męskiego cyklu tenisowego ATP Tour. Marka będzie także partnerem podczas </w:t>
      </w:r>
      <w:proofErr w:type="spellStart"/>
      <w:r>
        <w:rPr>
          <w:rFonts w:ascii="NobelCE Lt" w:hAnsi="NobelCE Lt"/>
          <w:bCs/>
          <w:sz w:val="24"/>
          <w:szCs w:val="24"/>
        </w:rPr>
        <w:t>Nitto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ATP </w:t>
      </w:r>
      <w:proofErr w:type="spellStart"/>
      <w:r>
        <w:rPr>
          <w:rFonts w:ascii="NobelCE Lt" w:hAnsi="NobelCE Lt"/>
          <w:bCs/>
          <w:sz w:val="24"/>
          <w:szCs w:val="24"/>
        </w:rPr>
        <w:t>Finals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czyli turnieju kończącego sezon, w którym zagra ośmiu najlepszych tenisistów w 2023 roku oraz osiem najlepszych duetów deblowych. Lexus zyska również dużą ekspozycję na platformach cyfrowych i społecznościowych ATP, będąc m.in. oficjalnym partnerem ATP </w:t>
      </w:r>
      <w:proofErr w:type="spellStart"/>
      <w:r>
        <w:rPr>
          <w:rFonts w:ascii="NobelCE Lt" w:hAnsi="NobelCE Lt"/>
          <w:bCs/>
          <w:sz w:val="24"/>
          <w:szCs w:val="24"/>
        </w:rPr>
        <w:t>Head</w:t>
      </w:r>
      <w:proofErr w:type="spellEnd"/>
      <w:r>
        <w:rPr>
          <w:rFonts w:ascii="NobelCE Lt" w:hAnsi="NobelCE Lt"/>
          <w:bCs/>
          <w:sz w:val="24"/>
          <w:szCs w:val="24"/>
        </w:rPr>
        <w:t>-to-</w:t>
      </w:r>
      <w:proofErr w:type="spellStart"/>
      <w:r>
        <w:rPr>
          <w:rFonts w:ascii="NobelCE Lt" w:hAnsi="NobelCE Lt"/>
          <w:bCs/>
          <w:sz w:val="24"/>
          <w:szCs w:val="24"/>
        </w:rPr>
        <w:t>Head</w:t>
      </w:r>
      <w:proofErr w:type="spellEnd"/>
      <w:r>
        <w:rPr>
          <w:rFonts w:ascii="NobelCE Lt" w:hAnsi="NobelCE Lt"/>
          <w:bCs/>
          <w:sz w:val="24"/>
          <w:szCs w:val="24"/>
        </w:rPr>
        <w:t>, narzędzia, dzięki któremu fani mogą porównać osiągnięcia tenisistów.</w:t>
      </w:r>
    </w:p>
    <w:p w14:paraId="79E8F700" w14:textId="77777777" w:rsidR="002B27C6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58AD0A" w14:textId="0834B703" w:rsidR="002B27C6" w:rsidRPr="00513EFA" w:rsidRDefault="00E46688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będzie też wspierał</w:t>
      </w:r>
      <w:r w:rsidR="002B27C6">
        <w:rPr>
          <w:rFonts w:ascii="NobelCE Lt" w:hAnsi="NobelCE Lt"/>
          <w:bCs/>
          <w:sz w:val="24"/>
          <w:szCs w:val="24"/>
        </w:rPr>
        <w:t xml:space="preserve"> organizator</w:t>
      </w:r>
      <w:r>
        <w:rPr>
          <w:rFonts w:ascii="NobelCE Lt" w:hAnsi="NobelCE Lt"/>
          <w:bCs/>
          <w:sz w:val="24"/>
          <w:szCs w:val="24"/>
        </w:rPr>
        <w:t>ów</w:t>
      </w:r>
      <w:r w:rsidR="002B27C6">
        <w:rPr>
          <w:rFonts w:ascii="NobelCE Lt" w:hAnsi="NobelCE Lt"/>
          <w:bCs/>
          <w:sz w:val="24"/>
          <w:szCs w:val="24"/>
        </w:rPr>
        <w:t xml:space="preserve"> turniejów oraz </w:t>
      </w:r>
      <w:r>
        <w:rPr>
          <w:rFonts w:ascii="NobelCE Lt" w:hAnsi="NobelCE Lt"/>
          <w:bCs/>
          <w:sz w:val="24"/>
          <w:szCs w:val="24"/>
        </w:rPr>
        <w:t>tenisistów</w:t>
      </w:r>
      <w:r w:rsidR="002B27C6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Marka</w:t>
      </w:r>
      <w:r w:rsidR="002B27C6" w:rsidRPr="00513EFA">
        <w:rPr>
          <w:rFonts w:ascii="NobelCE Lt" w:hAnsi="NobelCE Lt"/>
          <w:bCs/>
          <w:sz w:val="24"/>
          <w:szCs w:val="24"/>
        </w:rPr>
        <w:t xml:space="preserve"> </w:t>
      </w:r>
      <w:r w:rsidR="002B27C6">
        <w:rPr>
          <w:rFonts w:ascii="NobelCE Lt" w:hAnsi="NobelCE Lt"/>
          <w:bCs/>
          <w:sz w:val="24"/>
          <w:szCs w:val="24"/>
        </w:rPr>
        <w:t xml:space="preserve">już </w:t>
      </w:r>
      <w:r w:rsidR="002B27C6" w:rsidRPr="00513EFA">
        <w:rPr>
          <w:rFonts w:ascii="NobelCE Lt" w:hAnsi="NobelCE Lt"/>
          <w:bCs/>
          <w:sz w:val="24"/>
          <w:szCs w:val="24"/>
        </w:rPr>
        <w:t>został</w:t>
      </w:r>
      <w:r>
        <w:rPr>
          <w:rFonts w:ascii="NobelCE Lt" w:hAnsi="NobelCE Lt"/>
          <w:bCs/>
          <w:sz w:val="24"/>
          <w:szCs w:val="24"/>
        </w:rPr>
        <w:t>a</w:t>
      </w:r>
      <w:r w:rsidR="002B27C6" w:rsidRPr="00513EFA">
        <w:rPr>
          <w:rFonts w:ascii="NobelCE Lt" w:hAnsi="NobelCE Lt"/>
          <w:bCs/>
          <w:sz w:val="24"/>
          <w:szCs w:val="24"/>
        </w:rPr>
        <w:t xml:space="preserve"> </w:t>
      </w:r>
      <w:r w:rsidR="002B27C6">
        <w:rPr>
          <w:rFonts w:ascii="NobelCE Lt" w:hAnsi="NobelCE Lt"/>
          <w:bCs/>
          <w:sz w:val="24"/>
          <w:szCs w:val="24"/>
        </w:rPr>
        <w:t>partnerem</w:t>
      </w:r>
      <w:r w:rsidR="002B27C6" w:rsidRPr="00513EFA">
        <w:rPr>
          <w:rFonts w:ascii="NobelCE Lt" w:hAnsi="NobelCE Lt"/>
          <w:bCs/>
          <w:sz w:val="24"/>
          <w:szCs w:val="24"/>
        </w:rPr>
        <w:t xml:space="preserve"> rozgrywanych w Wielkiej</w:t>
      </w:r>
      <w:r w:rsidR="002B27C6">
        <w:rPr>
          <w:rFonts w:ascii="NobelCE Lt" w:hAnsi="NobelCE Lt"/>
          <w:bCs/>
          <w:sz w:val="24"/>
          <w:szCs w:val="24"/>
        </w:rPr>
        <w:t xml:space="preserve"> Brytanii </w:t>
      </w:r>
      <w:r w:rsidR="002B27C6" w:rsidRPr="00513EFA">
        <w:rPr>
          <w:rFonts w:ascii="NobelCE Lt" w:hAnsi="NobelCE Lt"/>
          <w:bCs/>
          <w:sz w:val="24"/>
          <w:szCs w:val="24"/>
        </w:rPr>
        <w:t xml:space="preserve">turniejów </w:t>
      </w:r>
      <w:proofErr w:type="spellStart"/>
      <w:r w:rsidR="002B27C6" w:rsidRPr="00513EFA">
        <w:rPr>
          <w:rFonts w:ascii="NobelCE Lt" w:hAnsi="NobelCE Lt"/>
          <w:bCs/>
          <w:sz w:val="24"/>
          <w:szCs w:val="24"/>
        </w:rPr>
        <w:t>Cinch</w:t>
      </w:r>
      <w:proofErr w:type="spellEnd"/>
      <w:r w:rsidR="002B27C6" w:rsidRPr="00513EF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B27C6" w:rsidRPr="00513EFA">
        <w:rPr>
          <w:rFonts w:ascii="NobelCE Lt" w:hAnsi="NobelCE Lt"/>
          <w:bCs/>
          <w:sz w:val="24"/>
          <w:szCs w:val="24"/>
        </w:rPr>
        <w:t>Championships</w:t>
      </w:r>
      <w:proofErr w:type="spellEnd"/>
      <w:r w:rsidR="002B27C6" w:rsidRPr="00513EFA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="002B27C6" w:rsidRPr="00513EFA">
        <w:rPr>
          <w:rFonts w:ascii="NobelCE Lt" w:hAnsi="NobelCE Lt"/>
          <w:bCs/>
          <w:sz w:val="24"/>
          <w:szCs w:val="24"/>
        </w:rPr>
        <w:t>Queen’s</w:t>
      </w:r>
      <w:proofErr w:type="spellEnd"/>
      <w:r w:rsidR="002B27C6" w:rsidRPr="00513EFA">
        <w:rPr>
          <w:rFonts w:ascii="NobelCE Lt" w:hAnsi="NobelCE Lt"/>
          <w:bCs/>
          <w:sz w:val="24"/>
          <w:szCs w:val="24"/>
        </w:rPr>
        <w:t xml:space="preserve">) oraz </w:t>
      </w:r>
      <w:proofErr w:type="spellStart"/>
      <w:r w:rsidR="002B27C6" w:rsidRPr="00513EFA">
        <w:rPr>
          <w:rFonts w:ascii="NobelCE Lt" w:hAnsi="NobelCE Lt"/>
          <w:bCs/>
          <w:sz w:val="24"/>
          <w:szCs w:val="24"/>
        </w:rPr>
        <w:t>Rothesay</w:t>
      </w:r>
      <w:proofErr w:type="spellEnd"/>
      <w:r w:rsidR="002B27C6" w:rsidRPr="00513EFA">
        <w:rPr>
          <w:rFonts w:ascii="NobelCE Lt" w:hAnsi="NobelCE Lt"/>
          <w:bCs/>
          <w:sz w:val="24"/>
          <w:szCs w:val="24"/>
        </w:rPr>
        <w:t xml:space="preserve"> International (</w:t>
      </w:r>
      <w:proofErr w:type="spellStart"/>
      <w:r w:rsidR="002B27C6" w:rsidRPr="00513EFA">
        <w:rPr>
          <w:rFonts w:ascii="NobelCE Lt" w:hAnsi="NobelCE Lt"/>
          <w:bCs/>
          <w:sz w:val="24"/>
          <w:szCs w:val="24"/>
        </w:rPr>
        <w:t>Eastbourne</w:t>
      </w:r>
      <w:proofErr w:type="spellEnd"/>
      <w:r w:rsidR="002B27C6" w:rsidRPr="00513EFA">
        <w:rPr>
          <w:rFonts w:ascii="NobelCE Lt" w:hAnsi="NobelCE Lt"/>
          <w:bCs/>
          <w:sz w:val="24"/>
          <w:szCs w:val="24"/>
        </w:rPr>
        <w:t xml:space="preserve">), a także </w:t>
      </w:r>
      <w:r w:rsidR="002B27C6">
        <w:rPr>
          <w:rFonts w:ascii="NobelCE Lt" w:hAnsi="NobelCE Lt"/>
          <w:bCs/>
          <w:sz w:val="24"/>
          <w:szCs w:val="24"/>
        </w:rPr>
        <w:t xml:space="preserve">amerykańskiego </w:t>
      </w:r>
      <w:proofErr w:type="spellStart"/>
      <w:r w:rsidR="002B27C6" w:rsidRPr="00513EFA">
        <w:rPr>
          <w:rFonts w:ascii="NobelCE Lt" w:hAnsi="NobelCE Lt"/>
          <w:bCs/>
          <w:sz w:val="24"/>
          <w:szCs w:val="24"/>
        </w:rPr>
        <w:t>Fayez</w:t>
      </w:r>
      <w:proofErr w:type="spellEnd"/>
      <w:r w:rsidR="002B27C6" w:rsidRPr="00513EF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B27C6" w:rsidRPr="00513EFA">
        <w:rPr>
          <w:rFonts w:ascii="NobelCE Lt" w:hAnsi="NobelCE Lt"/>
          <w:bCs/>
          <w:sz w:val="24"/>
          <w:szCs w:val="24"/>
        </w:rPr>
        <w:t>Sarofim</w:t>
      </w:r>
      <w:proofErr w:type="spellEnd"/>
      <w:r w:rsidR="002B27C6" w:rsidRPr="00513EFA">
        <w:rPr>
          <w:rFonts w:ascii="NobelCE Lt" w:hAnsi="NobelCE Lt"/>
          <w:bCs/>
          <w:sz w:val="24"/>
          <w:szCs w:val="24"/>
        </w:rPr>
        <w:t xml:space="preserve"> &amp; Co. U.S. </w:t>
      </w:r>
      <w:proofErr w:type="spellStart"/>
      <w:r w:rsidR="002B27C6" w:rsidRPr="00513EFA">
        <w:rPr>
          <w:rFonts w:ascii="NobelCE Lt" w:hAnsi="NobelCE Lt"/>
          <w:bCs/>
          <w:sz w:val="24"/>
          <w:szCs w:val="24"/>
        </w:rPr>
        <w:t>Men's</w:t>
      </w:r>
      <w:proofErr w:type="spellEnd"/>
      <w:r w:rsidR="002B27C6" w:rsidRPr="00513EFA">
        <w:rPr>
          <w:rFonts w:ascii="NobelCE Lt" w:hAnsi="NobelCE Lt"/>
          <w:bCs/>
          <w:sz w:val="24"/>
          <w:szCs w:val="24"/>
        </w:rPr>
        <w:t xml:space="preserve"> Clay Court Championship </w:t>
      </w:r>
      <w:r w:rsidR="002B27C6">
        <w:rPr>
          <w:rFonts w:ascii="NobelCE Lt" w:hAnsi="NobelCE Lt"/>
          <w:bCs/>
          <w:sz w:val="24"/>
          <w:szCs w:val="24"/>
        </w:rPr>
        <w:t xml:space="preserve">w </w:t>
      </w:r>
      <w:r w:rsidR="002B27C6" w:rsidRPr="00513EFA">
        <w:rPr>
          <w:rFonts w:ascii="NobelCE Lt" w:hAnsi="NobelCE Lt"/>
          <w:bCs/>
          <w:sz w:val="24"/>
          <w:szCs w:val="24"/>
        </w:rPr>
        <w:t>Houston</w:t>
      </w:r>
      <w:r w:rsidR="002B27C6">
        <w:rPr>
          <w:rFonts w:ascii="NobelCE Lt" w:hAnsi="NobelCE Lt"/>
          <w:bCs/>
          <w:sz w:val="24"/>
          <w:szCs w:val="24"/>
        </w:rPr>
        <w:t>.</w:t>
      </w:r>
    </w:p>
    <w:p w14:paraId="59F34427" w14:textId="77777777" w:rsidR="002B27C6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8A7F2E" w14:textId="77777777" w:rsidR="002B27C6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„Samochody Lexusa oraz tenis łączą najlepsze osiągi oraz niesamowite przeżycia. Jesteśmy zachwyceni, że razem z ATP Tour będziemy mogli dzielić się pasją do tej pięknej dyscypliny sportu z milionami fanów na całym świecie” – powiedział Pascal Ruch, </w:t>
      </w:r>
      <w:r w:rsidRPr="00DB05D4">
        <w:rPr>
          <w:rFonts w:ascii="NobelCE Lt" w:hAnsi="NobelCE Lt"/>
          <w:bCs/>
          <w:sz w:val="24"/>
          <w:szCs w:val="24"/>
        </w:rPr>
        <w:t>wiceprezes TME ds. Lexus Europe</w:t>
      </w:r>
      <w:r>
        <w:rPr>
          <w:rFonts w:ascii="NobelCE Lt" w:hAnsi="NobelCE Lt"/>
          <w:bCs/>
          <w:sz w:val="24"/>
          <w:szCs w:val="24"/>
        </w:rPr>
        <w:t>.</w:t>
      </w:r>
    </w:p>
    <w:p w14:paraId="303E00F2" w14:textId="77777777" w:rsidR="002B27C6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B719B5" w14:textId="77777777" w:rsidR="002B27C6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„Innowacyjność, najwyższe osiągi, dążenie do doskonałości to cechy wspólne Lexusa i ATP Tour. Łączy nas też dbałość o najwyższą jakość obsługi klienta, czyli naszych kibiców, którym chcemy dostarczać niesamowitych wrażeń” – stwierdził </w:t>
      </w:r>
      <w:proofErr w:type="spellStart"/>
      <w:r w:rsidRPr="00DB05D4">
        <w:rPr>
          <w:rFonts w:ascii="NobelCE Lt" w:hAnsi="NobelCE Lt"/>
          <w:bCs/>
          <w:sz w:val="24"/>
          <w:szCs w:val="24"/>
        </w:rPr>
        <w:t>Massimo</w:t>
      </w:r>
      <w:proofErr w:type="spellEnd"/>
      <w:r w:rsidRPr="00DB05D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B05D4">
        <w:rPr>
          <w:rFonts w:ascii="NobelCE Lt" w:hAnsi="NobelCE Lt"/>
          <w:bCs/>
          <w:sz w:val="24"/>
          <w:szCs w:val="24"/>
        </w:rPr>
        <w:t>Calvelli</w:t>
      </w:r>
      <w:proofErr w:type="spellEnd"/>
      <w:r>
        <w:rPr>
          <w:rFonts w:ascii="NobelCE Lt" w:hAnsi="NobelCE Lt"/>
          <w:bCs/>
          <w:sz w:val="24"/>
          <w:szCs w:val="24"/>
        </w:rPr>
        <w:t>, prezes ATP.</w:t>
      </w:r>
    </w:p>
    <w:p w14:paraId="6C620DC4" w14:textId="77777777" w:rsidR="002B27C6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B71051" w14:textId="4F55FFA3" w:rsidR="002B27C6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Wykorzystanie floty zelektryfikowanych samochodów Lexusa wpisuje się w dążenie ATP do całkowitego zredukowania emisji dwutlenku węgla do 2040 roku. W trakcie turniejów, w tym podczas </w:t>
      </w:r>
      <w:proofErr w:type="spellStart"/>
      <w:r>
        <w:rPr>
          <w:rFonts w:ascii="NobelCE Lt" w:hAnsi="NobelCE Lt"/>
          <w:bCs/>
          <w:sz w:val="24"/>
          <w:szCs w:val="24"/>
        </w:rPr>
        <w:t>Nitto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ATP </w:t>
      </w:r>
      <w:proofErr w:type="spellStart"/>
      <w:r>
        <w:rPr>
          <w:rFonts w:ascii="NobelCE Lt" w:hAnsi="NobelCE Lt"/>
          <w:bCs/>
          <w:sz w:val="24"/>
          <w:szCs w:val="24"/>
        </w:rPr>
        <w:t>Finals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Lexusy z napędem hybrydowym, hybrydami plug-in oraz z napędem elektrycznym będą </w:t>
      </w:r>
      <w:r w:rsidR="00BF70F5">
        <w:rPr>
          <w:rFonts w:ascii="NobelCE Lt" w:hAnsi="NobelCE Lt"/>
          <w:bCs/>
          <w:sz w:val="24"/>
          <w:szCs w:val="24"/>
        </w:rPr>
        <w:t xml:space="preserve">wozić </w:t>
      </w:r>
      <w:r>
        <w:rPr>
          <w:rFonts w:ascii="NobelCE Lt" w:hAnsi="NobelCE Lt"/>
          <w:bCs/>
          <w:sz w:val="24"/>
          <w:szCs w:val="24"/>
        </w:rPr>
        <w:t>tenisow</w:t>
      </w:r>
      <w:r w:rsidR="00BF70F5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gwiazd, oficjeli oraz zaproszonych gości.</w:t>
      </w:r>
    </w:p>
    <w:p w14:paraId="71F9AD7E" w14:textId="77777777" w:rsidR="002B27C6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81B236" w14:textId="67DDD1E1" w:rsidR="002B27C6" w:rsidRPr="00513EFA" w:rsidRDefault="002B27C6" w:rsidP="002B27C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Globalna umowa z ATP to ukoronowanie wieloletniego zaangażowania Lexusa w tenis na najwyższym poziomie. W dotychczasowym dorobku </w:t>
      </w:r>
      <w:r w:rsidR="00E46688">
        <w:rPr>
          <w:rFonts w:ascii="NobelCE Lt" w:hAnsi="NobelCE Lt"/>
          <w:bCs/>
          <w:sz w:val="24"/>
          <w:szCs w:val="24"/>
        </w:rPr>
        <w:t xml:space="preserve">marki są </w:t>
      </w:r>
      <w:r w:rsidRPr="00DB05D4">
        <w:rPr>
          <w:rFonts w:ascii="NobelCE Lt" w:hAnsi="NobelCE Lt"/>
          <w:bCs/>
          <w:sz w:val="24"/>
          <w:szCs w:val="24"/>
        </w:rPr>
        <w:t xml:space="preserve">umowy partnerskie z międzynarodowymi drużynowymi rozgrywkami kobiecymi </w:t>
      </w:r>
      <w:proofErr w:type="spellStart"/>
      <w:r w:rsidRPr="00DB05D4">
        <w:rPr>
          <w:rFonts w:ascii="NobelCE Lt" w:hAnsi="NobelCE Lt"/>
          <w:bCs/>
          <w:sz w:val="24"/>
          <w:szCs w:val="24"/>
        </w:rPr>
        <w:t>Fed</w:t>
      </w:r>
      <w:proofErr w:type="spellEnd"/>
      <w:r w:rsidRPr="00DB05D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B05D4">
        <w:rPr>
          <w:rFonts w:ascii="NobelCE Lt" w:hAnsi="NobelCE Lt"/>
          <w:bCs/>
          <w:sz w:val="24"/>
          <w:szCs w:val="24"/>
        </w:rPr>
        <w:t>Cup</w:t>
      </w:r>
      <w:proofErr w:type="spellEnd"/>
      <w:r w:rsidRPr="00DB05D4">
        <w:rPr>
          <w:rFonts w:ascii="NobelCE Lt" w:hAnsi="NobelCE Lt"/>
          <w:bCs/>
          <w:sz w:val="24"/>
          <w:szCs w:val="24"/>
        </w:rPr>
        <w:t xml:space="preserve"> (obecnie: Puchar </w:t>
      </w:r>
      <w:proofErr w:type="spellStart"/>
      <w:r w:rsidRPr="00DB05D4">
        <w:rPr>
          <w:rFonts w:ascii="NobelCE Lt" w:hAnsi="NobelCE Lt"/>
          <w:bCs/>
          <w:sz w:val="24"/>
          <w:szCs w:val="24"/>
        </w:rPr>
        <w:t>Billie</w:t>
      </w:r>
      <w:proofErr w:type="spellEnd"/>
      <w:r w:rsidRPr="00DB05D4">
        <w:rPr>
          <w:rFonts w:ascii="NobelCE Lt" w:hAnsi="NobelCE Lt"/>
          <w:bCs/>
          <w:sz w:val="24"/>
          <w:szCs w:val="24"/>
        </w:rPr>
        <w:t xml:space="preserve"> Jean King)</w:t>
      </w:r>
      <w:r>
        <w:rPr>
          <w:rFonts w:ascii="NobelCE Lt" w:hAnsi="NobelCE Lt"/>
          <w:bCs/>
          <w:sz w:val="24"/>
          <w:szCs w:val="24"/>
        </w:rPr>
        <w:t xml:space="preserve"> oraz męskim Pucharem Davisa.</w:t>
      </w:r>
    </w:p>
    <w:p w14:paraId="12D9FFD9" w14:textId="77777777" w:rsidR="002B27C6" w:rsidRDefault="002B27C6"/>
    <w:sectPr w:rsidR="002B2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FC53" w14:textId="77777777" w:rsidR="00967A33" w:rsidRDefault="00967A33">
      <w:pPr>
        <w:spacing w:after="0" w:line="240" w:lineRule="auto"/>
      </w:pPr>
      <w:r>
        <w:separator/>
      </w:r>
    </w:p>
  </w:endnote>
  <w:endnote w:type="continuationSeparator" w:id="0">
    <w:p w14:paraId="6652867E" w14:textId="77777777" w:rsidR="00967A33" w:rsidRDefault="0096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A45A" w14:textId="77777777" w:rsidR="001A3D9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3827" w14:textId="77777777" w:rsidR="008220D3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08E003B7" w14:textId="77777777" w:rsidR="008220D3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9D56" w14:textId="77777777" w:rsidR="001A3D9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96AD" w14:textId="77777777" w:rsidR="00967A33" w:rsidRDefault="00967A33">
      <w:pPr>
        <w:spacing w:after="0" w:line="240" w:lineRule="auto"/>
      </w:pPr>
      <w:r>
        <w:separator/>
      </w:r>
    </w:p>
  </w:footnote>
  <w:footnote w:type="continuationSeparator" w:id="0">
    <w:p w14:paraId="3D08F418" w14:textId="77777777" w:rsidR="00967A33" w:rsidRDefault="0096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7E9A" w14:textId="77777777" w:rsidR="0054245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8AB7" w14:textId="77777777" w:rsidR="008220D3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109577" wp14:editId="6942E00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630F87" w14:textId="77777777" w:rsidR="002458EA" w:rsidRPr="002458EA" w:rsidRDefault="00000000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09577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2C630F87" w14:textId="77777777" w:rsidR="002458EA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23A2" w14:textId="77777777" w:rsidR="0054245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9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C6"/>
    <w:rsid w:val="002B27C6"/>
    <w:rsid w:val="00967A33"/>
    <w:rsid w:val="00BF70F5"/>
    <w:rsid w:val="00DB3E82"/>
    <w:rsid w:val="00E4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A121"/>
  <w15:chartTrackingRefBased/>
  <w15:docId w15:val="{F5907E1C-4048-400D-87CD-1D74713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C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2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27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2B2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B27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2B27C6"/>
  </w:style>
  <w:style w:type="paragraph" w:styleId="Akapitzlist">
    <w:name w:val="List Paragraph"/>
    <w:basedOn w:val="Normalny"/>
    <w:uiPriority w:val="34"/>
    <w:qFormat/>
    <w:rsid w:val="002B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3</cp:revision>
  <dcterms:created xsi:type="dcterms:W3CDTF">2023-06-21T10:12:00Z</dcterms:created>
  <dcterms:modified xsi:type="dcterms:W3CDTF">2023-06-22T10:06:00Z</dcterms:modified>
</cp:coreProperties>
</file>