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381D380" w14:textId="60AB1C41" w:rsidR="00485DAB" w:rsidRPr="00485DAB" w:rsidRDefault="00485DAB" w:rsidP="00485DAB">
      <w:pPr>
        <w:ind w:right="39"/>
        <w:rPr>
          <w:lang w:val="en-US"/>
        </w:rPr>
      </w:pPr>
      <w:r>
        <w:rPr>
          <w:rFonts w:ascii="NobelCE Lt" w:hAnsi="NobelCE Lt"/>
          <w:sz w:val="24"/>
          <w:szCs w:val="24"/>
          <w:lang w:val="en-US"/>
        </w:rPr>
        <w:t>06</w:t>
      </w:r>
      <w:r w:rsidR="00BA0D15" w:rsidRPr="001D3DD3">
        <w:rPr>
          <w:rFonts w:ascii="NobelCE Lt" w:hAnsi="NobelCE Lt"/>
          <w:sz w:val="24"/>
          <w:szCs w:val="24"/>
          <w:lang w:val="en-US"/>
        </w:rPr>
        <w:t xml:space="preserve"> </w:t>
      </w:r>
      <w:r>
        <w:rPr>
          <w:rFonts w:ascii="NobelCE Lt" w:hAnsi="NobelCE Lt"/>
          <w:sz w:val="24"/>
          <w:szCs w:val="24"/>
          <w:lang w:val="en-US"/>
        </w:rPr>
        <w:t>MARCA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005C3B52" w14:textId="72AF6120" w:rsidR="00D22134" w:rsidRPr="00D5669D" w:rsidRDefault="00D22134" w:rsidP="00485DAB">
      <w:pPr>
        <w:rPr>
          <w:rFonts w:ascii="NobelCE Lt" w:hAnsi="NobelCE Lt"/>
          <w:b/>
          <w:sz w:val="36"/>
          <w:szCs w:val="36"/>
          <w:lang w:val="en-US"/>
        </w:rPr>
      </w:pPr>
    </w:p>
    <w:p w14:paraId="79F06287" w14:textId="1943778F" w:rsidR="00C05914" w:rsidRPr="00D5669D" w:rsidRDefault="00C05914" w:rsidP="00D22134">
      <w:pPr>
        <w:rPr>
          <w:rFonts w:ascii="NobelCE Lt" w:hAnsi="NobelCE Lt"/>
          <w:b/>
          <w:sz w:val="36"/>
          <w:szCs w:val="36"/>
          <w:lang w:val="en-US"/>
        </w:rPr>
      </w:pPr>
    </w:p>
    <w:p w14:paraId="7762AB3A" w14:textId="53E74E50" w:rsidR="00C05914" w:rsidRPr="0047573A" w:rsidRDefault="00C05914" w:rsidP="00C05914">
      <w:pPr>
        <w:rPr>
          <w:rFonts w:ascii="NobelCE Lt" w:hAnsi="NobelCE Lt"/>
          <w:b/>
          <w:sz w:val="36"/>
          <w:szCs w:val="36"/>
          <w:lang w:val="en-US"/>
        </w:rPr>
      </w:pPr>
      <w:r w:rsidRPr="0047573A">
        <w:rPr>
          <w:rFonts w:ascii="NobelCE Lt" w:hAnsi="NobelCE Lt"/>
          <w:b/>
          <w:sz w:val="36"/>
          <w:szCs w:val="36"/>
          <w:lang w:val="en-US"/>
        </w:rPr>
        <w:t xml:space="preserve">LF-1 Limitless – </w:t>
      </w:r>
      <w:proofErr w:type="spellStart"/>
      <w:r w:rsidRPr="0047573A">
        <w:rPr>
          <w:rFonts w:ascii="NobelCE Lt" w:hAnsi="NobelCE Lt"/>
          <w:b/>
          <w:sz w:val="36"/>
          <w:szCs w:val="36"/>
          <w:lang w:val="en-US"/>
        </w:rPr>
        <w:t>nowy</w:t>
      </w:r>
      <w:proofErr w:type="spellEnd"/>
      <w:r w:rsidRPr="0047573A">
        <w:rPr>
          <w:rFonts w:ascii="NobelCE Lt" w:hAnsi="NobelCE Lt"/>
          <w:b/>
          <w:sz w:val="36"/>
          <w:szCs w:val="36"/>
          <w:lang w:val="en-US"/>
        </w:rPr>
        <w:t xml:space="preserve"> </w:t>
      </w:r>
      <w:proofErr w:type="spellStart"/>
      <w:r w:rsidRPr="0047573A">
        <w:rPr>
          <w:rFonts w:ascii="NobelCE Lt" w:hAnsi="NobelCE Lt"/>
          <w:b/>
          <w:sz w:val="36"/>
          <w:szCs w:val="36"/>
          <w:lang w:val="en-US"/>
        </w:rPr>
        <w:t>flagowy</w:t>
      </w:r>
      <w:proofErr w:type="spellEnd"/>
      <w:r w:rsidRPr="0047573A">
        <w:rPr>
          <w:rFonts w:ascii="NobelCE Lt" w:hAnsi="NobelCE Lt"/>
          <w:b/>
          <w:sz w:val="36"/>
          <w:szCs w:val="36"/>
          <w:lang w:val="en-US"/>
        </w:rPr>
        <w:t xml:space="preserve"> </w:t>
      </w:r>
      <w:r w:rsidR="00D5669D" w:rsidRPr="0047573A">
        <w:rPr>
          <w:rFonts w:ascii="NobelCE Lt" w:hAnsi="NobelCE Lt"/>
          <w:b/>
          <w:sz w:val="36"/>
          <w:szCs w:val="36"/>
          <w:lang w:val="en-US"/>
        </w:rPr>
        <w:t>crossover</w:t>
      </w:r>
      <w:r w:rsidRPr="0047573A">
        <w:rPr>
          <w:rFonts w:ascii="NobelCE Lt" w:hAnsi="NobelCE Lt"/>
          <w:b/>
          <w:sz w:val="36"/>
          <w:szCs w:val="36"/>
          <w:lang w:val="en-US"/>
        </w:rPr>
        <w:t xml:space="preserve"> </w:t>
      </w:r>
      <w:proofErr w:type="spellStart"/>
      <w:r w:rsidRPr="0047573A">
        <w:rPr>
          <w:rFonts w:ascii="NobelCE Lt" w:hAnsi="NobelCE Lt"/>
          <w:b/>
          <w:sz w:val="36"/>
          <w:szCs w:val="36"/>
          <w:lang w:val="en-US"/>
        </w:rPr>
        <w:t>Lexusa</w:t>
      </w:r>
      <w:proofErr w:type="spellEnd"/>
    </w:p>
    <w:p w14:paraId="61623287" w14:textId="186E7F7A" w:rsidR="00D22134" w:rsidRPr="0047573A" w:rsidRDefault="00D22134" w:rsidP="00D22134">
      <w:pPr>
        <w:rPr>
          <w:rFonts w:ascii="NobelCE Lt" w:hAnsi="NobelCE Lt"/>
          <w:b/>
          <w:sz w:val="36"/>
          <w:szCs w:val="36"/>
          <w:lang w:val="en-US"/>
        </w:rPr>
      </w:pPr>
    </w:p>
    <w:p w14:paraId="621D3772" w14:textId="1CDDD05A" w:rsidR="00C05914" w:rsidRPr="0047573A" w:rsidRDefault="00D5669D" w:rsidP="00D22134">
      <w:pPr>
        <w:rPr>
          <w:rFonts w:ascii="NobelCE Lt" w:hAnsi="NobelCE Lt"/>
          <w:b/>
          <w:sz w:val="24"/>
          <w:szCs w:val="24"/>
        </w:rPr>
      </w:pPr>
      <w:r w:rsidRPr="0047573A">
        <w:rPr>
          <w:rFonts w:ascii="NobelCE Lt" w:hAnsi="NobelCE Lt"/>
          <w:b/>
          <w:sz w:val="24"/>
          <w:szCs w:val="24"/>
        </w:rPr>
        <w:t xml:space="preserve">Salon Samochodowy w Genewie jest miejscem europejskiej premiery koncepcyjnego </w:t>
      </w:r>
      <w:r w:rsidR="0047573A" w:rsidRPr="0047573A">
        <w:rPr>
          <w:rFonts w:ascii="NobelCE Lt" w:hAnsi="NobelCE Lt"/>
          <w:b/>
          <w:sz w:val="24"/>
          <w:szCs w:val="24"/>
        </w:rPr>
        <w:t>Lexusa</w:t>
      </w:r>
      <w:r w:rsidRPr="0047573A">
        <w:rPr>
          <w:rFonts w:ascii="NobelCE Lt" w:hAnsi="NobelCE Lt"/>
          <w:b/>
          <w:sz w:val="24"/>
          <w:szCs w:val="24"/>
        </w:rPr>
        <w:t xml:space="preserve"> LF-1 </w:t>
      </w:r>
      <w:proofErr w:type="spellStart"/>
      <w:r w:rsidRPr="0047573A">
        <w:rPr>
          <w:rFonts w:ascii="NobelCE Lt" w:hAnsi="NobelCE Lt"/>
          <w:b/>
          <w:sz w:val="24"/>
          <w:szCs w:val="24"/>
        </w:rPr>
        <w:t>Limitless</w:t>
      </w:r>
      <w:proofErr w:type="spellEnd"/>
      <w:r w:rsidRPr="0047573A">
        <w:rPr>
          <w:rFonts w:ascii="NobelCE Lt" w:hAnsi="NobelCE Lt"/>
          <w:b/>
          <w:sz w:val="24"/>
          <w:szCs w:val="24"/>
        </w:rPr>
        <w:t xml:space="preserve">. </w:t>
      </w:r>
      <w:r w:rsidR="0047573A" w:rsidRPr="0047573A">
        <w:rPr>
          <w:rFonts w:ascii="NobelCE Lt" w:hAnsi="NobelCE Lt"/>
          <w:b/>
          <w:sz w:val="24"/>
          <w:szCs w:val="24"/>
        </w:rPr>
        <w:t xml:space="preserve">Model </w:t>
      </w:r>
      <w:r w:rsidR="0047573A" w:rsidRPr="0047573A">
        <w:rPr>
          <w:rFonts w:ascii="NobelCE Lt" w:hAnsi="NobelCE Lt"/>
          <w:b/>
          <w:sz w:val="24"/>
          <w:szCs w:val="24"/>
        </w:rPr>
        <w:t>tworzy nową klasę flagowy</w:t>
      </w:r>
      <w:r w:rsidR="0047573A" w:rsidRPr="0047573A">
        <w:rPr>
          <w:rFonts w:ascii="NobelCE Lt" w:hAnsi="NobelCE Lt"/>
          <w:b/>
          <w:sz w:val="24"/>
          <w:szCs w:val="24"/>
        </w:rPr>
        <w:t xml:space="preserve">ch, </w:t>
      </w:r>
      <w:r w:rsidR="0047573A" w:rsidRPr="0047573A">
        <w:rPr>
          <w:rFonts w:ascii="NobelCE Lt" w:hAnsi="NobelCE Lt"/>
          <w:b/>
          <w:sz w:val="24"/>
          <w:szCs w:val="24"/>
        </w:rPr>
        <w:t>luksusowych crossover</w:t>
      </w:r>
      <w:r w:rsidR="0047573A">
        <w:rPr>
          <w:rFonts w:ascii="NobelCE Lt" w:hAnsi="NobelCE Lt"/>
          <w:b/>
          <w:sz w:val="24"/>
          <w:szCs w:val="24"/>
        </w:rPr>
        <w:t xml:space="preserve">ów oraz służy jako demonstracja najnowszych innowacji marki w zakresie </w:t>
      </w:r>
      <w:r w:rsidR="0047573A" w:rsidRPr="0047573A">
        <w:rPr>
          <w:rFonts w:ascii="NobelCE Lt" w:hAnsi="NobelCE Lt"/>
          <w:b/>
          <w:sz w:val="24"/>
          <w:szCs w:val="24"/>
        </w:rPr>
        <w:t xml:space="preserve">technologii </w:t>
      </w:r>
      <w:r w:rsidR="0047573A" w:rsidRPr="0047573A">
        <w:rPr>
          <w:rFonts w:ascii="NobelCE Lt" w:hAnsi="NobelCE Lt"/>
          <w:b/>
          <w:sz w:val="24"/>
          <w:szCs w:val="24"/>
        </w:rPr>
        <w:t>i designu</w:t>
      </w:r>
      <w:r w:rsidR="0047573A" w:rsidRPr="0047573A">
        <w:rPr>
          <w:rFonts w:ascii="NobelCE Lt" w:hAnsi="NobelCE Lt"/>
          <w:b/>
          <w:sz w:val="24"/>
          <w:szCs w:val="24"/>
        </w:rPr>
        <w:t>.</w:t>
      </w:r>
    </w:p>
    <w:p w14:paraId="1CE9D06F" w14:textId="77777777" w:rsidR="00D5669D" w:rsidRDefault="00D5669D" w:rsidP="00C05914">
      <w:pPr>
        <w:rPr>
          <w:rFonts w:ascii="NobelCE Lt" w:hAnsi="NobelCE Lt"/>
          <w:sz w:val="24"/>
          <w:szCs w:val="24"/>
        </w:rPr>
      </w:pPr>
    </w:p>
    <w:p w14:paraId="4F9B4FC6" w14:textId="48E8BC19" w:rsidR="00C05914" w:rsidRPr="00C05914" w:rsidRDefault="00C05914" w:rsidP="00C05914">
      <w:pPr>
        <w:rPr>
          <w:rFonts w:ascii="NobelCE Lt" w:hAnsi="NobelCE Lt"/>
          <w:sz w:val="24"/>
          <w:szCs w:val="24"/>
        </w:rPr>
      </w:pPr>
      <w:r w:rsidRPr="00C05914">
        <w:rPr>
          <w:rFonts w:ascii="NobelCE Lt" w:hAnsi="NobelCE Lt"/>
          <w:sz w:val="24"/>
          <w:szCs w:val="24"/>
        </w:rPr>
        <w:t xml:space="preserve">Jak rozgrzany metal, z którego powstaje doskonały japoński miecz, koncepcyjny samochód Lexus LF-1 </w:t>
      </w:r>
      <w:proofErr w:type="spellStart"/>
      <w:r w:rsidRPr="00C05914">
        <w:rPr>
          <w:rFonts w:ascii="NobelCE Lt" w:hAnsi="NobelCE Lt"/>
          <w:sz w:val="24"/>
          <w:szCs w:val="24"/>
        </w:rPr>
        <w:t>Limitless</w:t>
      </w:r>
      <w:proofErr w:type="spellEnd"/>
      <w:r w:rsidRPr="00C05914">
        <w:rPr>
          <w:rFonts w:ascii="NobelCE Lt" w:hAnsi="NobelCE Lt"/>
          <w:sz w:val="24"/>
          <w:szCs w:val="24"/>
        </w:rPr>
        <w:t xml:space="preserve"> ma w sobie potencjał, który w przys</w:t>
      </w:r>
      <w:r w:rsidR="00D5669D">
        <w:rPr>
          <w:rFonts w:ascii="NobelCE Lt" w:hAnsi="NobelCE Lt"/>
          <w:sz w:val="24"/>
          <w:szCs w:val="24"/>
        </w:rPr>
        <w:t xml:space="preserve">złości pozwoli </w:t>
      </w:r>
      <w:r w:rsidR="0047573A">
        <w:rPr>
          <w:rFonts w:ascii="NobelCE Lt" w:hAnsi="NobelCE Lt"/>
          <w:sz w:val="24"/>
          <w:szCs w:val="24"/>
        </w:rPr>
        <w:t>opracować</w:t>
      </w:r>
      <w:r w:rsidR="00D5669D">
        <w:rPr>
          <w:rFonts w:ascii="NobelCE Lt" w:hAnsi="NobelCE Lt"/>
          <w:sz w:val="24"/>
          <w:szCs w:val="24"/>
        </w:rPr>
        <w:t xml:space="preserve"> flagowego luksusowego</w:t>
      </w:r>
      <w:r w:rsidRPr="00C05914">
        <w:rPr>
          <w:rFonts w:ascii="NobelCE Lt" w:hAnsi="NobelCE Lt"/>
          <w:sz w:val="24"/>
          <w:szCs w:val="24"/>
        </w:rPr>
        <w:t xml:space="preserve"> crossover</w:t>
      </w:r>
      <w:r w:rsidR="00D5669D">
        <w:rPr>
          <w:rFonts w:ascii="NobelCE Lt" w:hAnsi="NobelCE Lt"/>
          <w:sz w:val="24"/>
          <w:szCs w:val="24"/>
        </w:rPr>
        <w:t>a</w:t>
      </w:r>
      <w:r w:rsidR="0047573A">
        <w:rPr>
          <w:rFonts w:ascii="NobelCE Lt" w:hAnsi="NobelCE Lt"/>
          <w:sz w:val="24"/>
          <w:szCs w:val="24"/>
        </w:rPr>
        <w:t xml:space="preserve"> marki. Samochód</w:t>
      </w:r>
      <w:r w:rsidRPr="00C05914">
        <w:rPr>
          <w:rFonts w:ascii="NobelCE Lt" w:hAnsi="NobelCE Lt"/>
          <w:sz w:val="24"/>
          <w:szCs w:val="24"/>
        </w:rPr>
        <w:t xml:space="preserve"> przedstawiony w tym rok</w:t>
      </w:r>
      <w:r w:rsidR="0047573A">
        <w:rPr>
          <w:rFonts w:ascii="NobelCE Lt" w:hAnsi="NobelCE Lt"/>
          <w:sz w:val="24"/>
          <w:szCs w:val="24"/>
        </w:rPr>
        <w:t xml:space="preserve">u na Detroit Auto Show </w:t>
      </w:r>
      <w:r w:rsidRPr="00C05914">
        <w:rPr>
          <w:rFonts w:ascii="NobelCE Lt" w:hAnsi="NobelCE Lt"/>
          <w:sz w:val="24"/>
          <w:szCs w:val="24"/>
        </w:rPr>
        <w:t>tworzy no</w:t>
      </w:r>
      <w:r w:rsidR="0047573A">
        <w:rPr>
          <w:rFonts w:ascii="NobelCE Lt" w:hAnsi="NobelCE Lt"/>
          <w:sz w:val="24"/>
          <w:szCs w:val="24"/>
        </w:rPr>
        <w:t>wą klasę samochodów luksusowych</w:t>
      </w:r>
      <w:r w:rsidRPr="00C05914">
        <w:rPr>
          <w:rFonts w:ascii="NobelCE Lt" w:hAnsi="NobelCE Lt"/>
          <w:sz w:val="24"/>
          <w:szCs w:val="24"/>
        </w:rPr>
        <w:t xml:space="preserve">. Łącząc wysokie osiągi z bezkompromisowym luksusem, Lexus LF-1 </w:t>
      </w:r>
      <w:proofErr w:type="spellStart"/>
      <w:r w:rsidRPr="00C05914">
        <w:rPr>
          <w:rFonts w:ascii="NobelCE Lt" w:hAnsi="NobelCE Lt"/>
          <w:sz w:val="24"/>
          <w:szCs w:val="24"/>
        </w:rPr>
        <w:t>Limitless</w:t>
      </w:r>
      <w:proofErr w:type="spellEnd"/>
      <w:r w:rsidRPr="00C05914">
        <w:rPr>
          <w:rFonts w:ascii="NobelCE Lt" w:hAnsi="NobelCE Lt"/>
          <w:sz w:val="24"/>
          <w:szCs w:val="24"/>
        </w:rPr>
        <w:t xml:space="preserve"> stanowi jednocześnie demonstrację technologii, innowacji i designu </w:t>
      </w:r>
      <w:r w:rsidR="0047573A">
        <w:rPr>
          <w:rFonts w:ascii="NobelCE Lt" w:hAnsi="NobelCE Lt"/>
          <w:sz w:val="24"/>
          <w:szCs w:val="24"/>
        </w:rPr>
        <w:t>marki</w:t>
      </w:r>
      <w:r w:rsidRPr="00C05914">
        <w:rPr>
          <w:rFonts w:ascii="NobelCE Lt" w:hAnsi="NobelCE Lt"/>
          <w:sz w:val="24"/>
          <w:szCs w:val="24"/>
        </w:rPr>
        <w:t xml:space="preserve">.  </w:t>
      </w:r>
    </w:p>
    <w:p w14:paraId="14504C67" w14:textId="0FAF6B7F" w:rsidR="00C05914" w:rsidRPr="00C05914" w:rsidRDefault="00C05914" w:rsidP="00C05914">
      <w:pPr>
        <w:rPr>
          <w:rFonts w:ascii="NobelCE Lt" w:hAnsi="NobelCE Lt"/>
          <w:sz w:val="24"/>
          <w:szCs w:val="24"/>
        </w:rPr>
      </w:pPr>
      <w:r w:rsidRPr="00C05914">
        <w:rPr>
          <w:rFonts w:ascii="NobelCE Lt" w:hAnsi="NobelCE Lt"/>
          <w:sz w:val="24"/>
          <w:szCs w:val="24"/>
        </w:rPr>
        <w:t xml:space="preserve">Mając nieograniczony potencjał, LF-1 uwzględnia różne style życia klientów. Nieograniczone są również możliwości LF-1 pod względem możliwych rodzajów napędu – może to być napęd oparty na ogniwach paliwowych, hybrydowy, hybrydowy plug-in, silnik benzynowy lub elektryczny. Około roku 2025 każdy model Lexusa będzie miał napęd zelektryfikowany lub będzie dostępny w wersji zelektryfikowanej. </w:t>
      </w:r>
    </w:p>
    <w:p w14:paraId="678FCD5A"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Nowatorski duch LF-1 narodził się w kalifornijskim studiu CALTY Design </w:t>
      </w:r>
      <w:proofErr w:type="spellStart"/>
      <w:r w:rsidRPr="00C05914">
        <w:rPr>
          <w:rFonts w:ascii="NobelCE Lt" w:hAnsi="NobelCE Lt"/>
          <w:sz w:val="24"/>
          <w:szCs w:val="24"/>
        </w:rPr>
        <w:t>Research</w:t>
      </w:r>
      <w:proofErr w:type="spellEnd"/>
      <w:r w:rsidRPr="00C05914">
        <w:rPr>
          <w:rFonts w:ascii="NobelCE Lt" w:hAnsi="NobelCE Lt"/>
          <w:sz w:val="24"/>
          <w:szCs w:val="24"/>
        </w:rPr>
        <w:t xml:space="preserve">. Jego język designu wywodzi się z prostej, a jednocześnie eleganckiej koncepcji nazwanej </w:t>
      </w:r>
      <w:proofErr w:type="spellStart"/>
      <w:r w:rsidRPr="00C05914">
        <w:rPr>
          <w:rFonts w:ascii="NobelCE Lt" w:hAnsi="NobelCE Lt"/>
          <w:sz w:val="24"/>
          <w:szCs w:val="24"/>
        </w:rPr>
        <w:t>molten</w:t>
      </w:r>
      <w:proofErr w:type="spellEnd"/>
      <w:r w:rsidRPr="00C05914">
        <w:rPr>
          <w:rFonts w:ascii="NobelCE Lt" w:hAnsi="NobelCE Lt"/>
          <w:sz w:val="24"/>
          <w:szCs w:val="24"/>
        </w:rPr>
        <w:t xml:space="preserve"> katana. Jej wizualizacja jest syntezą organicznych kształtów płynnego metalu i ostrych krawędzi tradycyjnego miecza. Wyobrażenie przekształcenia rozgrzanej, płynnej masy w twarde, smukłe ostrze stało się inspiracją dla opływowej, a jednocześnie agresywnej bryły LF-1 </w:t>
      </w:r>
      <w:proofErr w:type="spellStart"/>
      <w:r w:rsidRPr="00C05914">
        <w:rPr>
          <w:rFonts w:ascii="NobelCE Lt" w:hAnsi="NobelCE Lt"/>
          <w:sz w:val="24"/>
          <w:szCs w:val="24"/>
        </w:rPr>
        <w:t>Limitless</w:t>
      </w:r>
      <w:proofErr w:type="spellEnd"/>
      <w:r w:rsidRPr="00C05914">
        <w:rPr>
          <w:rFonts w:ascii="NobelCE Lt" w:hAnsi="NobelCE Lt"/>
          <w:sz w:val="24"/>
          <w:szCs w:val="24"/>
        </w:rPr>
        <w:t xml:space="preserve">.  </w:t>
      </w:r>
    </w:p>
    <w:p w14:paraId="12C5EFE8" w14:textId="77777777" w:rsidR="00C05914" w:rsidRPr="00C05914" w:rsidRDefault="00C05914" w:rsidP="00C05914">
      <w:pPr>
        <w:rPr>
          <w:rFonts w:ascii="NobelCE Lt" w:hAnsi="NobelCE Lt"/>
          <w:sz w:val="24"/>
          <w:szCs w:val="24"/>
        </w:rPr>
      </w:pPr>
      <w:r w:rsidRPr="00C05914">
        <w:rPr>
          <w:rFonts w:ascii="NobelCE Lt" w:hAnsi="NobelCE Lt"/>
          <w:sz w:val="24"/>
          <w:szCs w:val="24"/>
        </w:rPr>
        <w:lastRenderedPageBreak/>
        <w:t xml:space="preserve">– „To nasza wizja nowego rodzaju pojazdu flagowego, łączącego możliwości crossovera z osiągami i luksusem najlepszych sedanów” – mówi Kevin Hunter, prezes CALTY Design </w:t>
      </w:r>
      <w:proofErr w:type="spellStart"/>
      <w:r w:rsidRPr="00C05914">
        <w:rPr>
          <w:rFonts w:ascii="NobelCE Lt" w:hAnsi="NobelCE Lt"/>
          <w:sz w:val="24"/>
          <w:szCs w:val="24"/>
        </w:rPr>
        <w:t>Research</w:t>
      </w:r>
      <w:proofErr w:type="spellEnd"/>
      <w:r w:rsidRPr="00C05914">
        <w:rPr>
          <w:rFonts w:ascii="NobelCE Lt" w:hAnsi="NobelCE Lt"/>
          <w:sz w:val="24"/>
          <w:szCs w:val="24"/>
        </w:rPr>
        <w:t xml:space="preserve"> Inc. – „LF-1 </w:t>
      </w:r>
      <w:proofErr w:type="spellStart"/>
      <w:r w:rsidRPr="00C05914">
        <w:rPr>
          <w:rFonts w:ascii="NobelCE Lt" w:hAnsi="NobelCE Lt"/>
          <w:sz w:val="24"/>
          <w:szCs w:val="24"/>
        </w:rPr>
        <w:t>Limitless</w:t>
      </w:r>
      <w:proofErr w:type="spellEnd"/>
      <w:r w:rsidRPr="00C05914">
        <w:rPr>
          <w:rFonts w:ascii="NobelCE Lt" w:hAnsi="NobelCE Lt"/>
          <w:sz w:val="24"/>
          <w:szCs w:val="24"/>
        </w:rPr>
        <w:t xml:space="preserve"> wykorzystuje najnowsze technologie, a jednocześnie tworzy silną więź emocjonalną, zapewniając znakomite doznania zarówno kierowcy, jak i pasażerom”.   </w:t>
      </w:r>
    </w:p>
    <w:p w14:paraId="4E915492"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Wszystko zaczyna się od właściwych proporcji. Długa maska i krótki przedni zwis Lexusa LF-1 nadają mu atletyczny profil, kojarzący się raczej z GT, niż z kombi. W połączeniu z kabiną, zagłębioną między wydatnymi błotnikami, w których ledwie mieszczą się agresywne, 22-calowe koła, tworzy to mocną sylwetkę, już na pierwszy rzut oka zapowiadającą wysokie osiągi. Niska linia dachu i podwyższone zawieszenie podkreślają praktyczny charakter crossovera. </w:t>
      </w:r>
    </w:p>
    <w:p w14:paraId="38665535"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Jak we wszystkich obecnych modelach Lexusa, kluczowym elementem designu LF-1 jest wydatny grill o kształcie klepsydry. W LF-1 jego koncepcja została jeszcze rozszerzona – szczegóły nadwozia stwarzają wrażenie, że klepsydra ma swoje korzenie z tyłu pojazdu i rozwija się ku przodowi, gdzie znajduje swą kulminację. Sam grill ma trójwymiarową strukturę o kolorach dobranych przez CALTY. Krawędzie promieniujące od znajdującego się w centrum emblematu przywodzą na myśl pole magnetyczne, nadające kształt opiłkom metalu. Projektanci nie użyli chromu – zamiast tego w LF-1 wokół grilla umieszczono oświetlenie LED, dające bardzo ciekawy efekt. </w:t>
      </w:r>
    </w:p>
    <w:p w14:paraId="48DFA8DF" w14:textId="3A4C7A8E" w:rsidR="00C05914" w:rsidRPr="00C05914" w:rsidRDefault="00C05914" w:rsidP="00C05914">
      <w:pPr>
        <w:rPr>
          <w:rFonts w:ascii="NobelCE Lt" w:hAnsi="NobelCE Lt"/>
          <w:sz w:val="24"/>
          <w:szCs w:val="24"/>
        </w:rPr>
      </w:pPr>
      <w:r w:rsidRPr="00C05914">
        <w:rPr>
          <w:rFonts w:ascii="NobelCE Lt" w:hAnsi="NobelCE Lt"/>
          <w:sz w:val="24"/>
          <w:szCs w:val="24"/>
        </w:rPr>
        <w:t xml:space="preserve">– „Samochody Lexusa takie jak </w:t>
      </w:r>
      <w:bookmarkStart w:id="0" w:name="_GoBack"/>
      <w:r w:rsidRPr="00C05914">
        <w:rPr>
          <w:rFonts w:ascii="NobelCE Lt" w:hAnsi="NobelCE Lt"/>
          <w:sz w:val="24"/>
          <w:szCs w:val="24"/>
        </w:rPr>
        <w:t>RX</w:t>
      </w:r>
      <w:bookmarkEnd w:id="0"/>
      <w:r w:rsidRPr="00C05914">
        <w:rPr>
          <w:rFonts w:ascii="NobelCE Lt" w:hAnsi="NobelCE Lt"/>
          <w:sz w:val="24"/>
          <w:szCs w:val="24"/>
        </w:rPr>
        <w:t xml:space="preserve"> pomogły spopularyzować kategorię luksusowych SUV-ów. Nowy koncepcyjny </w:t>
      </w:r>
      <w:proofErr w:type="spellStart"/>
      <w:r w:rsidRPr="00C05914">
        <w:rPr>
          <w:rFonts w:ascii="NobelCE Lt" w:hAnsi="NobelCE Lt"/>
          <w:sz w:val="24"/>
          <w:szCs w:val="24"/>
        </w:rPr>
        <w:t>crossover</w:t>
      </w:r>
      <w:proofErr w:type="spellEnd"/>
      <w:r w:rsidRPr="00C05914">
        <w:rPr>
          <w:rFonts w:ascii="NobelCE Lt" w:hAnsi="NobelCE Lt"/>
          <w:sz w:val="24"/>
          <w:szCs w:val="24"/>
        </w:rPr>
        <w:t xml:space="preserve"> pokazuje przyszłość, w której osiągom i funkcjonalności tow</w:t>
      </w:r>
      <w:r w:rsidR="0047573A">
        <w:rPr>
          <w:rFonts w:ascii="NobelCE Lt" w:hAnsi="NobelCE Lt"/>
          <w:sz w:val="24"/>
          <w:szCs w:val="24"/>
        </w:rPr>
        <w:t>arzyszy emocjonujący design, co</w:t>
      </w:r>
      <w:r w:rsidRPr="00C05914">
        <w:rPr>
          <w:rFonts w:ascii="NobelCE Lt" w:hAnsi="NobelCE Lt"/>
          <w:sz w:val="24"/>
          <w:szCs w:val="24"/>
        </w:rPr>
        <w:t xml:space="preserve"> mamy nadzieję, odpowiada oczekiwaniom nabywców w tym segmencie” – mówi </w:t>
      </w:r>
      <w:proofErr w:type="spellStart"/>
      <w:r w:rsidRPr="00C05914">
        <w:rPr>
          <w:rFonts w:ascii="NobelCE Lt" w:hAnsi="NobelCE Lt"/>
          <w:sz w:val="24"/>
          <w:szCs w:val="24"/>
        </w:rPr>
        <w:t>Yoshihiro</w:t>
      </w:r>
      <w:proofErr w:type="spellEnd"/>
      <w:r w:rsidRPr="00C05914">
        <w:rPr>
          <w:rFonts w:ascii="NobelCE Lt" w:hAnsi="NobelCE Lt"/>
          <w:sz w:val="24"/>
          <w:szCs w:val="24"/>
        </w:rPr>
        <w:t xml:space="preserve"> Sawa, prezes Lexus International. </w:t>
      </w:r>
    </w:p>
    <w:p w14:paraId="475E4BF4" w14:textId="77777777" w:rsidR="00C05914" w:rsidRPr="00C05914" w:rsidRDefault="00C05914" w:rsidP="00C05914">
      <w:pPr>
        <w:rPr>
          <w:rFonts w:ascii="NobelCE Lt" w:hAnsi="NobelCE Lt"/>
          <w:sz w:val="24"/>
          <w:szCs w:val="24"/>
        </w:rPr>
      </w:pPr>
      <w:r w:rsidRPr="00C05914">
        <w:rPr>
          <w:rFonts w:ascii="NobelCE Lt" w:hAnsi="NobelCE Lt"/>
          <w:sz w:val="24"/>
          <w:szCs w:val="24"/>
        </w:rPr>
        <w:t>Patrząc z profilu, LF-1 ma jasno określoną linię płynącą od przodu ku tyłowi, ciągnącą się od maski, przez błotnik, aż po podstawę słupka D. Linia ta kontrastuje ze znajdującymi się poniżej bardziej skomplikowanymi powierzchniami, takimi jak szeroki, śmiało zarysowany przedni błotnik, przechodzący w gładkie, głęboko przetłoczone przednie drzwi. Dalej bok nadwozia rozbudowuje się ku tyłowi, by objąć tylne koło, nadając LF-1 rysy klasycznego „</w:t>
      </w:r>
      <w:proofErr w:type="spellStart"/>
      <w:r w:rsidRPr="00C05914">
        <w:rPr>
          <w:rFonts w:ascii="NobelCE Lt" w:hAnsi="NobelCE Lt"/>
          <w:sz w:val="24"/>
          <w:szCs w:val="24"/>
        </w:rPr>
        <w:t>muscle</w:t>
      </w:r>
      <w:proofErr w:type="spellEnd"/>
      <w:r w:rsidRPr="00C05914">
        <w:rPr>
          <w:rFonts w:ascii="NobelCE Lt" w:hAnsi="NobelCE Lt"/>
          <w:sz w:val="24"/>
          <w:szCs w:val="24"/>
        </w:rPr>
        <w:t xml:space="preserve"> car”.  </w:t>
      </w:r>
    </w:p>
    <w:p w14:paraId="07949A6C"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Na końcu dachu Lexusa LF-1 przyciąga oko rozdwojony spojler, jednak w tylnej części samochodu jest znacznie więcej interesujących krzywizn i szczegółów. Pięknie wyrzeźbione otwory w dolnych narożnikach przywodzą na myśl rury wydechowe, jednak w istocie są to wyloty powietrza opływającego tylne koła. Wzniesione narożniki stanowią solidną podstawę dla tylnych lamp zespolonych, wysuniętych poza obrys nadwozia. Powyżej linii łączącej tylne światła rozpoczyna się olbrzymia połać szkła, która rozciąga się aż nad tylne fotele, dając ich pasażerom znakomity widok dzięki rozdzielonemu na dwie części spojlerowi.  </w:t>
      </w:r>
    </w:p>
    <w:p w14:paraId="6AF4DF59"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Celem CALTY podczas projektowania kabiny było zapewnienie komfortu każdemu pasażerowi. LF-1 nawiązuje do tradycyjnej japońskiej gościnności – </w:t>
      </w:r>
      <w:proofErr w:type="spellStart"/>
      <w:r w:rsidRPr="00C05914">
        <w:rPr>
          <w:rFonts w:ascii="NobelCE Lt" w:hAnsi="NobelCE Lt"/>
          <w:sz w:val="24"/>
          <w:szCs w:val="24"/>
        </w:rPr>
        <w:t>omotenashi</w:t>
      </w:r>
      <w:proofErr w:type="spellEnd"/>
      <w:r w:rsidRPr="00C05914">
        <w:rPr>
          <w:rFonts w:ascii="NobelCE Lt" w:hAnsi="NobelCE Lt"/>
          <w:sz w:val="24"/>
          <w:szCs w:val="24"/>
        </w:rPr>
        <w:t xml:space="preserve">, witając każdą wsiadającą osobę z równym entuzjazmem. Kokpit zaprojektowano tak, by umożliwić kierowcy skoncentrowanie się na jego czynnościach, zastępując rozpraszające analogowe </w:t>
      </w:r>
      <w:r w:rsidRPr="00C05914">
        <w:rPr>
          <w:rFonts w:ascii="NobelCE Lt" w:hAnsi="NobelCE Lt"/>
          <w:sz w:val="24"/>
          <w:szCs w:val="24"/>
        </w:rPr>
        <w:lastRenderedPageBreak/>
        <w:t xml:space="preserve">pokrętła i przyciski sterowaniem rozpoznającym gesty, a bezpośrednio przed kierowcą umieszczono minimalistyczny wyświetlacz. Przestrzeń przeznaczona dla pasażera przedniego fotela jest znacznie bardziej otwarta, z szeroką i gładką powierzchnią z przodu. Pasażerom siedzącym z tyłu zapewniono dużo miejsca na nogi. Tylne fotele są takie same jak przednie, a przed każdym znajduje się ekran multimedialny, umożliwiający także regulowanie indywidualnych ustawień klimatyzacji. </w:t>
      </w:r>
    </w:p>
    <w:p w14:paraId="4F29496D"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W elementach wykończenia wnętrza wykonanych z metalu o satynowej powierzchni odnajdujemy różano-złotą i miedzianą kolorystykę zbliżoną do barw lakieru nadwozia. Dodatkowe metaliczne akcenty we wnętrzu kontrastują z ciemnymi okładzinami ze skóry w kolorze </w:t>
      </w:r>
      <w:proofErr w:type="spellStart"/>
      <w:r w:rsidRPr="00C05914">
        <w:rPr>
          <w:rFonts w:ascii="NobelCE Lt" w:hAnsi="NobelCE Lt"/>
          <w:sz w:val="24"/>
          <w:szCs w:val="24"/>
        </w:rPr>
        <w:t>Cocoa</w:t>
      </w:r>
      <w:proofErr w:type="spellEnd"/>
      <w:r w:rsidRPr="00C05914">
        <w:rPr>
          <w:rFonts w:ascii="NobelCE Lt" w:hAnsi="NobelCE Lt"/>
          <w:sz w:val="24"/>
          <w:szCs w:val="24"/>
        </w:rPr>
        <w:t xml:space="preserve"> Bean i fotelami pokrytymi perforowaną skórą w kolorze </w:t>
      </w:r>
      <w:proofErr w:type="spellStart"/>
      <w:r w:rsidRPr="00C05914">
        <w:rPr>
          <w:rFonts w:ascii="NobelCE Lt" w:hAnsi="NobelCE Lt"/>
          <w:sz w:val="24"/>
          <w:szCs w:val="24"/>
        </w:rPr>
        <w:t>Chiffon</w:t>
      </w:r>
      <w:proofErr w:type="spellEnd"/>
      <w:r w:rsidRPr="00C05914">
        <w:rPr>
          <w:rFonts w:ascii="NobelCE Lt" w:hAnsi="NobelCE Lt"/>
          <w:sz w:val="24"/>
          <w:szCs w:val="24"/>
        </w:rPr>
        <w:t xml:space="preserve"> White. </w:t>
      </w:r>
    </w:p>
    <w:p w14:paraId="7DF2AA3E"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Ważną rolę dla wyglądu i nastroju wnętrza odgrywa również oświetlenie. Naciśnięcie przycisku start rozpoczyna imponującą sekwencję oświetlenia tła, uzależnioną od wybranego trybu jazdy. Ciekawy efekt dają miniaturowe diody LED ukryte za maleńkimi otworkami w drewnianych elementach wykończenia drzwi, świecące subtelnym światłem o różnych kolorach, które uzupełnia zasadnicze oświetlenie kabiny. </w:t>
      </w:r>
    </w:p>
    <w:p w14:paraId="617A0FF2"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Na luksusowy charakter LF-1 składają się także rozwiązania techniczne wspomagające kierowcę. Należy do nich tryb jazdy autonomicznej </w:t>
      </w:r>
      <w:proofErr w:type="spellStart"/>
      <w:r w:rsidRPr="00C05914">
        <w:rPr>
          <w:rFonts w:ascii="NobelCE Lt" w:hAnsi="NobelCE Lt"/>
          <w:sz w:val="24"/>
          <w:szCs w:val="24"/>
        </w:rPr>
        <w:t>Chauffeur</w:t>
      </w:r>
      <w:proofErr w:type="spellEnd"/>
      <w:r w:rsidRPr="00C05914">
        <w:rPr>
          <w:rFonts w:ascii="NobelCE Lt" w:hAnsi="NobelCE Lt"/>
          <w:sz w:val="24"/>
          <w:szCs w:val="24"/>
        </w:rPr>
        <w:t xml:space="preserve"> (szofer), sterujący kierownicą, hamowaniem, przyspieszaniem oraz światłami i sygnałami. Dla miłośników aktywnego prowadzenia, wszystkie elementy sterowania napędem i ważne wskaźniki umieszczono na kierownicy, by ułatwić kierowcy skupienie się na drodze. Zapewnia to komfortowe, efektywne prowadzenie pojazdu i zmniejsza ryzyko wypadku.  </w:t>
      </w:r>
      <w:bookmarkStart w:id="1" w:name="_Hlk501468285"/>
    </w:p>
    <w:bookmarkEnd w:id="1"/>
    <w:p w14:paraId="22C2A7D5"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LF-1 wyposażono w czterowymiarowy system nawigacji, uzupełniający tradycyjną nawigację o dodatkowy element – czas. System przewiduje potrzeby kierowcy i pasażerów w oparciu o postępy podróży, natężenie ruchu i warunki drogowe na zaplanowanej trasie, sugerując przystanki na tankowanie, przerwy na odpoczynek i posiłki, a nawet proponując rezerwacje miejsc w hotelach. Informacje nawigacyjne wyświetlane są na ekranie w tablicy przyrządów, na monitorach multimedialnych tylnych foteli, mogą być też przesyłane bezprzewodowo do tabletów i smartfonów pasażerów. </w:t>
      </w:r>
    </w:p>
    <w:p w14:paraId="20AD65F4"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Sterowanie systemem nawigacji 4D, klimatyzacją i systemami rozrywkowymi odbywa się za pomocą umieszczonych wygodnie na kierownicy urządzeń dotykowych z haptycznym sprzężeniem zwrotnym. Panel dotykowy na pokrytej skórą konsoli centralnej wyposażono w funkcję rozpoznawania pisma, ułatwiającą wprowadzanie danych. Dodatkowy panel dotykowy z haptycznym sprzężeniem zwrotnym konsoli centralnej między tylnymi fotelami umożliwia pasażerom sterowanie ustawieniami komfortu i pracą systemu rozrywkowego. </w:t>
      </w:r>
    </w:p>
    <w:p w14:paraId="372D17BC"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Wszystkie te nowatorskie technologie oraz przykuwająca wzrok stylistyka dają koncepcyjnemu Lexusowi LF-1 </w:t>
      </w:r>
      <w:proofErr w:type="spellStart"/>
      <w:r w:rsidRPr="00C05914">
        <w:rPr>
          <w:rFonts w:ascii="NobelCE Lt" w:hAnsi="NobelCE Lt"/>
          <w:sz w:val="24"/>
          <w:szCs w:val="24"/>
        </w:rPr>
        <w:t>Limitless</w:t>
      </w:r>
      <w:proofErr w:type="spellEnd"/>
      <w:r w:rsidRPr="00C05914">
        <w:rPr>
          <w:rFonts w:ascii="NobelCE Lt" w:hAnsi="NobelCE Lt"/>
          <w:sz w:val="24"/>
          <w:szCs w:val="24"/>
        </w:rPr>
        <w:t xml:space="preserve"> ogromny potencjał, przekładający się na wyjątkowe doznania przyszłych klientów z segmentu samochodów luksusowych.  </w:t>
      </w:r>
    </w:p>
    <w:p w14:paraId="538D40EA" w14:textId="54B50957" w:rsidR="00C05914" w:rsidRPr="00C05914" w:rsidRDefault="00C05914" w:rsidP="00C05914">
      <w:pPr>
        <w:rPr>
          <w:rFonts w:ascii="NobelCE Lt" w:hAnsi="NobelCE Lt"/>
          <w:sz w:val="24"/>
          <w:szCs w:val="24"/>
        </w:rPr>
      </w:pPr>
      <w:r w:rsidRPr="00C05914">
        <w:rPr>
          <w:rFonts w:ascii="NobelCE Lt" w:hAnsi="NobelCE Lt"/>
          <w:sz w:val="24"/>
          <w:szCs w:val="24"/>
        </w:rPr>
        <w:t xml:space="preserve">Podstawowe dane techniczne </w:t>
      </w:r>
    </w:p>
    <w:tbl>
      <w:tblPr>
        <w:tblW w:w="0" w:type="auto"/>
        <w:tblInd w:w="-5" w:type="dxa"/>
        <w:tblLayout w:type="fixed"/>
        <w:tblLook w:val="0000" w:firstRow="0" w:lastRow="0" w:firstColumn="0" w:lastColumn="0" w:noHBand="0" w:noVBand="0"/>
      </w:tblPr>
      <w:tblGrid>
        <w:gridCol w:w="3116"/>
        <w:gridCol w:w="3117"/>
        <w:gridCol w:w="3127"/>
      </w:tblGrid>
      <w:tr w:rsidR="00C05914" w:rsidRPr="00C05914" w14:paraId="766AFF67" w14:textId="77777777" w:rsidTr="007556E5">
        <w:trPr>
          <w:cantSplit/>
        </w:trPr>
        <w:tc>
          <w:tcPr>
            <w:tcW w:w="3116" w:type="dxa"/>
            <w:tcBorders>
              <w:top w:val="single" w:sz="4" w:space="0" w:color="000000"/>
              <w:left w:val="single" w:sz="4" w:space="0" w:color="000000"/>
              <w:bottom w:val="single" w:sz="4" w:space="0" w:color="000000"/>
            </w:tcBorders>
            <w:shd w:val="clear" w:color="auto" w:fill="auto"/>
          </w:tcPr>
          <w:p w14:paraId="6D0032DD" w14:textId="77777777" w:rsidR="00C05914" w:rsidRPr="00C05914" w:rsidRDefault="00C05914" w:rsidP="00C05914">
            <w:pPr>
              <w:rPr>
                <w:rFonts w:ascii="NobelCE Lt" w:hAnsi="NobelCE Lt"/>
                <w:sz w:val="24"/>
                <w:szCs w:val="24"/>
              </w:rPr>
            </w:pPr>
            <w:r w:rsidRPr="00C05914">
              <w:rPr>
                <w:rFonts w:ascii="NobelCE Lt" w:hAnsi="NobelCE Lt"/>
                <w:sz w:val="24"/>
                <w:szCs w:val="24"/>
              </w:rPr>
              <w:t>Długość</w:t>
            </w:r>
          </w:p>
        </w:tc>
        <w:tc>
          <w:tcPr>
            <w:tcW w:w="3117" w:type="dxa"/>
            <w:tcBorders>
              <w:top w:val="single" w:sz="4" w:space="0" w:color="000000"/>
              <w:bottom w:val="single" w:sz="4" w:space="0" w:color="000000"/>
            </w:tcBorders>
            <w:shd w:val="clear" w:color="auto" w:fill="auto"/>
          </w:tcPr>
          <w:p w14:paraId="3BAC2AAB" w14:textId="77777777" w:rsidR="00C05914" w:rsidRPr="00C05914" w:rsidRDefault="00C05914" w:rsidP="00C05914">
            <w:pPr>
              <w:rPr>
                <w:rFonts w:ascii="NobelCE Lt" w:hAnsi="NobelCE Lt"/>
                <w:sz w:val="24"/>
                <w:szCs w:val="24"/>
              </w:rPr>
            </w:pPr>
            <w:proofErr w:type="gramStart"/>
            <w:r w:rsidRPr="00C05914">
              <w:rPr>
                <w:rFonts w:ascii="NobelCE Lt" w:hAnsi="NobelCE Lt"/>
                <w:sz w:val="24"/>
                <w:szCs w:val="24"/>
              </w:rPr>
              <w:t>5014  mm</w:t>
            </w:r>
            <w:proofErr w:type="gramEnd"/>
          </w:p>
        </w:tc>
        <w:tc>
          <w:tcPr>
            <w:tcW w:w="3127" w:type="dxa"/>
            <w:tcBorders>
              <w:top w:val="single" w:sz="4" w:space="0" w:color="000000"/>
              <w:bottom w:val="single" w:sz="4" w:space="0" w:color="000000"/>
              <w:right w:val="single" w:sz="4" w:space="0" w:color="000000"/>
            </w:tcBorders>
            <w:shd w:val="clear" w:color="auto" w:fill="auto"/>
          </w:tcPr>
          <w:p w14:paraId="56EDA8A1" w14:textId="77777777" w:rsidR="00C05914" w:rsidRPr="00C05914" w:rsidRDefault="00C05914" w:rsidP="00C05914">
            <w:pPr>
              <w:rPr>
                <w:rFonts w:ascii="NobelCE Lt" w:hAnsi="NobelCE Lt"/>
                <w:sz w:val="24"/>
                <w:szCs w:val="24"/>
              </w:rPr>
            </w:pPr>
            <w:r w:rsidRPr="00C05914">
              <w:rPr>
                <w:rFonts w:ascii="NobelCE Lt" w:hAnsi="NobelCE Lt"/>
                <w:sz w:val="24"/>
                <w:szCs w:val="24"/>
              </w:rPr>
              <w:t>(197,4 cala)</w:t>
            </w:r>
          </w:p>
        </w:tc>
      </w:tr>
      <w:tr w:rsidR="00C05914" w:rsidRPr="00C05914" w14:paraId="1BE6B2C8" w14:textId="77777777" w:rsidTr="007556E5">
        <w:trPr>
          <w:cantSplit/>
        </w:trPr>
        <w:tc>
          <w:tcPr>
            <w:tcW w:w="3116" w:type="dxa"/>
            <w:tcBorders>
              <w:top w:val="single" w:sz="4" w:space="0" w:color="000000"/>
              <w:left w:val="single" w:sz="4" w:space="0" w:color="000000"/>
              <w:bottom w:val="single" w:sz="4" w:space="0" w:color="000000"/>
            </w:tcBorders>
            <w:shd w:val="clear" w:color="auto" w:fill="auto"/>
          </w:tcPr>
          <w:p w14:paraId="01D5073C" w14:textId="77777777" w:rsidR="00C05914" w:rsidRPr="00C05914" w:rsidRDefault="00C05914" w:rsidP="00C05914">
            <w:pPr>
              <w:rPr>
                <w:rFonts w:ascii="NobelCE Lt" w:hAnsi="NobelCE Lt"/>
                <w:sz w:val="24"/>
                <w:szCs w:val="24"/>
              </w:rPr>
            </w:pPr>
            <w:r w:rsidRPr="00C05914">
              <w:rPr>
                <w:rFonts w:ascii="NobelCE Lt" w:hAnsi="NobelCE Lt"/>
                <w:sz w:val="24"/>
                <w:szCs w:val="24"/>
              </w:rPr>
              <w:lastRenderedPageBreak/>
              <w:t>Szerokość</w:t>
            </w:r>
          </w:p>
        </w:tc>
        <w:tc>
          <w:tcPr>
            <w:tcW w:w="3117" w:type="dxa"/>
            <w:tcBorders>
              <w:top w:val="single" w:sz="4" w:space="0" w:color="000000"/>
              <w:bottom w:val="single" w:sz="4" w:space="0" w:color="000000"/>
            </w:tcBorders>
            <w:shd w:val="clear" w:color="auto" w:fill="auto"/>
          </w:tcPr>
          <w:p w14:paraId="6483432A" w14:textId="77777777" w:rsidR="00C05914" w:rsidRPr="00C05914" w:rsidRDefault="00C05914" w:rsidP="00C05914">
            <w:pPr>
              <w:rPr>
                <w:rFonts w:ascii="NobelCE Lt" w:hAnsi="NobelCE Lt"/>
                <w:sz w:val="24"/>
                <w:szCs w:val="24"/>
              </w:rPr>
            </w:pPr>
            <w:proofErr w:type="gramStart"/>
            <w:r w:rsidRPr="00C05914">
              <w:rPr>
                <w:rFonts w:ascii="NobelCE Lt" w:hAnsi="NobelCE Lt"/>
                <w:sz w:val="24"/>
                <w:szCs w:val="24"/>
              </w:rPr>
              <w:t>1986  mm</w:t>
            </w:r>
            <w:proofErr w:type="gramEnd"/>
          </w:p>
        </w:tc>
        <w:tc>
          <w:tcPr>
            <w:tcW w:w="3127" w:type="dxa"/>
            <w:tcBorders>
              <w:top w:val="single" w:sz="4" w:space="0" w:color="000000"/>
              <w:bottom w:val="single" w:sz="4" w:space="0" w:color="000000"/>
              <w:right w:val="single" w:sz="4" w:space="0" w:color="000000"/>
            </w:tcBorders>
            <w:shd w:val="clear" w:color="auto" w:fill="auto"/>
          </w:tcPr>
          <w:p w14:paraId="1AB48F35" w14:textId="77777777" w:rsidR="00C05914" w:rsidRPr="00C05914" w:rsidRDefault="00C05914" w:rsidP="00C05914">
            <w:pPr>
              <w:rPr>
                <w:rFonts w:ascii="NobelCE Lt" w:hAnsi="NobelCE Lt"/>
                <w:sz w:val="24"/>
                <w:szCs w:val="24"/>
              </w:rPr>
            </w:pPr>
            <w:r w:rsidRPr="00C05914">
              <w:rPr>
                <w:rFonts w:ascii="NobelCE Lt" w:hAnsi="NobelCE Lt"/>
                <w:sz w:val="24"/>
                <w:szCs w:val="24"/>
              </w:rPr>
              <w:t>(78,</w:t>
            </w:r>
            <w:proofErr w:type="gramStart"/>
            <w:r w:rsidRPr="00C05914">
              <w:rPr>
                <w:rFonts w:ascii="NobelCE Lt" w:hAnsi="NobelCE Lt"/>
                <w:sz w:val="24"/>
                <w:szCs w:val="24"/>
              </w:rPr>
              <w:t>2  cala</w:t>
            </w:r>
            <w:proofErr w:type="gramEnd"/>
            <w:r w:rsidRPr="00C05914">
              <w:rPr>
                <w:rFonts w:ascii="NobelCE Lt" w:hAnsi="NobelCE Lt"/>
                <w:sz w:val="24"/>
                <w:szCs w:val="24"/>
              </w:rPr>
              <w:t>)</w:t>
            </w:r>
          </w:p>
        </w:tc>
      </w:tr>
      <w:tr w:rsidR="00C05914" w:rsidRPr="00C05914" w14:paraId="6457DF50" w14:textId="77777777" w:rsidTr="007556E5">
        <w:trPr>
          <w:cantSplit/>
        </w:trPr>
        <w:tc>
          <w:tcPr>
            <w:tcW w:w="3116" w:type="dxa"/>
            <w:tcBorders>
              <w:top w:val="single" w:sz="4" w:space="0" w:color="000000"/>
              <w:left w:val="single" w:sz="4" w:space="0" w:color="000000"/>
              <w:bottom w:val="single" w:sz="4" w:space="0" w:color="000000"/>
            </w:tcBorders>
            <w:shd w:val="clear" w:color="auto" w:fill="auto"/>
          </w:tcPr>
          <w:p w14:paraId="7C6563EA" w14:textId="77777777" w:rsidR="00C05914" w:rsidRPr="00C05914" w:rsidRDefault="00C05914" w:rsidP="00C05914">
            <w:pPr>
              <w:rPr>
                <w:rFonts w:ascii="NobelCE Lt" w:hAnsi="NobelCE Lt"/>
                <w:sz w:val="24"/>
                <w:szCs w:val="24"/>
              </w:rPr>
            </w:pPr>
            <w:r w:rsidRPr="00C05914">
              <w:rPr>
                <w:rFonts w:ascii="NobelCE Lt" w:hAnsi="NobelCE Lt"/>
                <w:sz w:val="24"/>
                <w:szCs w:val="24"/>
              </w:rPr>
              <w:t>Wysokość</w:t>
            </w:r>
          </w:p>
        </w:tc>
        <w:tc>
          <w:tcPr>
            <w:tcW w:w="3117" w:type="dxa"/>
            <w:tcBorders>
              <w:top w:val="single" w:sz="4" w:space="0" w:color="000000"/>
              <w:bottom w:val="single" w:sz="4" w:space="0" w:color="000000"/>
            </w:tcBorders>
            <w:shd w:val="clear" w:color="auto" w:fill="auto"/>
          </w:tcPr>
          <w:p w14:paraId="58B7103A" w14:textId="77777777" w:rsidR="00C05914" w:rsidRPr="00C05914" w:rsidRDefault="00C05914" w:rsidP="00C05914">
            <w:pPr>
              <w:rPr>
                <w:rFonts w:ascii="NobelCE Lt" w:hAnsi="NobelCE Lt"/>
                <w:sz w:val="24"/>
                <w:szCs w:val="24"/>
              </w:rPr>
            </w:pPr>
            <w:proofErr w:type="gramStart"/>
            <w:r w:rsidRPr="00C05914">
              <w:rPr>
                <w:rFonts w:ascii="NobelCE Lt" w:hAnsi="NobelCE Lt"/>
                <w:sz w:val="24"/>
                <w:szCs w:val="24"/>
              </w:rPr>
              <w:t>1605  mm</w:t>
            </w:r>
            <w:proofErr w:type="gramEnd"/>
          </w:p>
        </w:tc>
        <w:tc>
          <w:tcPr>
            <w:tcW w:w="3127" w:type="dxa"/>
            <w:tcBorders>
              <w:top w:val="single" w:sz="4" w:space="0" w:color="000000"/>
              <w:bottom w:val="single" w:sz="4" w:space="0" w:color="000000"/>
              <w:right w:val="single" w:sz="4" w:space="0" w:color="000000"/>
            </w:tcBorders>
            <w:shd w:val="clear" w:color="auto" w:fill="auto"/>
          </w:tcPr>
          <w:p w14:paraId="01F6639B" w14:textId="77777777" w:rsidR="00C05914" w:rsidRPr="00C05914" w:rsidRDefault="00C05914" w:rsidP="00C05914">
            <w:pPr>
              <w:rPr>
                <w:rFonts w:ascii="NobelCE Lt" w:hAnsi="NobelCE Lt"/>
                <w:sz w:val="24"/>
                <w:szCs w:val="24"/>
              </w:rPr>
            </w:pPr>
            <w:r w:rsidRPr="00C05914">
              <w:rPr>
                <w:rFonts w:ascii="NobelCE Lt" w:hAnsi="NobelCE Lt"/>
                <w:sz w:val="24"/>
                <w:szCs w:val="24"/>
              </w:rPr>
              <w:t>(63,2 cala)</w:t>
            </w:r>
          </w:p>
        </w:tc>
      </w:tr>
      <w:tr w:rsidR="00C05914" w:rsidRPr="00C05914" w14:paraId="1956884C" w14:textId="77777777" w:rsidTr="007556E5">
        <w:trPr>
          <w:cantSplit/>
        </w:trPr>
        <w:tc>
          <w:tcPr>
            <w:tcW w:w="3116" w:type="dxa"/>
            <w:tcBorders>
              <w:top w:val="single" w:sz="4" w:space="0" w:color="000000"/>
              <w:left w:val="single" w:sz="4" w:space="0" w:color="000000"/>
              <w:bottom w:val="single" w:sz="4" w:space="0" w:color="000000"/>
            </w:tcBorders>
            <w:shd w:val="clear" w:color="auto" w:fill="auto"/>
          </w:tcPr>
          <w:p w14:paraId="1A1EEE23" w14:textId="77777777" w:rsidR="00C05914" w:rsidRPr="00C05914" w:rsidRDefault="00C05914" w:rsidP="00C05914">
            <w:pPr>
              <w:rPr>
                <w:rFonts w:ascii="NobelCE Lt" w:hAnsi="NobelCE Lt"/>
                <w:sz w:val="24"/>
                <w:szCs w:val="24"/>
              </w:rPr>
            </w:pPr>
            <w:r w:rsidRPr="00C05914">
              <w:rPr>
                <w:rFonts w:ascii="NobelCE Lt" w:hAnsi="NobelCE Lt"/>
                <w:sz w:val="24"/>
                <w:szCs w:val="24"/>
              </w:rPr>
              <w:t>Rozstaw osi</w:t>
            </w:r>
          </w:p>
        </w:tc>
        <w:tc>
          <w:tcPr>
            <w:tcW w:w="3117" w:type="dxa"/>
            <w:tcBorders>
              <w:top w:val="single" w:sz="4" w:space="0" w:color="000000"/>
              <w:bottom w:val="single" w:sz="4" w:space="0" w:color="000000"/>
            </w:tcBorders>
            <w:shd w:val="clear" w:color="auto" w:fill="auto"/>
          </w:tcPr>
          <w:p w14:paraId="2FA278AD" w14:textId="77777777" w:rsidR="00C05914" w:rsidRPr="00C05914" w:rsidRDefault="00C05914" w:rsidP="00C05914">
            <w:pPr>
              <w:rPr>
                <w:rFonts w:ascii="NobelCE Lt" w:hAnsi="NobelCE Lt"/>
                <w:sz w:val="24"/>
                <w:szCs w:val="24"/>
              </w:rPr>
            </w:pPr>
            <w:proofErr w:type="gramStart"/>
            <w:r w:rsidRPr="00C05914">
              <w:rPr>
                <w:rFonts w:ascii="NobelCE Lt" w:hAnsi="NobelCE Lt"/>
                <w:sz w:val="24"/>
                <w:szCs w:val="24"/>
              </w:rPr>
              <w:t>2974  mm</w:t>
            </w:r>
            <w:proofErr w:type="gramEnd"/>
          </w:p>
        </w:tc>
        <w:tc>
          <w:tcPr>
            <w:tcW w:w="3127" w:type="dxa"/>
            <w:tcBorders>
              <w:top w:val="single" w:sz="4" w:space="0" w:color="000000"/>
              <w:bottom w:val="single" w:sz="4" w:space="0" w:color="000000"/>
              <w:right w:val="single" w:sz="4" w:space="0" w:color="000000"/>
            </w:tcBorders>
            <w:shd w:val="clear" w:color="auto" w:fill="auto"/>
          </w:tcPr>
          <w:p w14:paraId="06FC5506" w14:textId="77777777" w:rsidR="00C05914" w:rsidRPr="00C05914" w:rsidRDefault="00C05914" w:rsidP="00C05914">
            <w:pPr>
              <w:rPr>
                <w:rFonts w:ascii="NobelCE Lt" w:hAnsi="NobelCE Lt"/>
                <w:sz w:val="24"/>
                <w:szCs w:val="24"/>
              </w:rPr>
            </w:pPr>
            <w:r w:rsidRPr="00C05914">
              <w:rPr>
                <w:rFonts w:ascii="NobelCE Lt" w:hAnsi="NobelCE Lt"/>
                <w:sz w:val="24"/>
                <w:szCs w:val="24"/>
              </w:rPr>
              <w:t>(117,1 cala)</w:t>
            </w:r>
          </w:p>
        </w:tc>
      </w:tr>
    </w:tbl>
    <w:p w14:paraId="27B7792B" w14:textId="77777777" w:rsidR="00C05914" w:rsidRPr="00C05914" w:rsidRDefault="00C05914" w:rsidP="00C05914">
      <w:pPr>
        <w:rPr>
          <w:rFonts w:ascii="NobelCE Lt" w:hAnsi="NobelCE Lt"/>
          <w:sz w:val="24"/>
          <w:szCs w:val="24"/>
        </w:rPr>
      </w:pPr>
      <w:r w:rsidRPr="00C05914">
        <w:rPr>
          <w:rFonts w:ascii="NobelCE Lt" w:hAnsi="NobelCE Lt"/>
          <w:sz w:val="24"/>
          <w:szCs w:val="24"/>
        </w:rPr>
        <w:t xml:space="preserve"> </w:t>
      </w:r>
    </w:p>
    <w:p w14:paraId="44B02AE1" w14:textId="77777777" w:rsidR="00C05914" w:rsidRPr="00C05914" w:rsidRDefault="00C05914" w:rsidP="00C05914">
      <w:pPr>
        <w:rPr>
          <w:rFonts w:ascii="NobelCE Lt" w:hAnsi="NobelCE Lt"/>
          <w:sz w:val="24"/>
          <w:szCs w:val="24"/>
        </w:rPr>
      </w:pPr>
      <w:r w:rsidRPr="00C05914">
        <w:rPr>
          <w:rFonts w:ascii="NobelCE Lt" w:hAnsi="NobelCE Lt"/>
          <w:sz w:val="24"/>
          <w:szCs w:val="24"/>
        </w:rPr>
        <w:t># # #</w:t>
      </w:r>
    </w:p>
    <w:p w14:paraId="7ED665B6" w14:textId="77777777" w:rsidR="00485DAB" w:rsidRPr="00A73561" w:rsidRDefault="00485DAB" w:rsidP="00C05914">
      <w:pPr>
        <w:rPr>
          <w:rFonts w:ascii="NobelCE Lt" w:hAnsi="NobelCE Lt"/>
          <w:sz w:val="24"/>
          <w:szCs w:val="24"/>
        </w:rPr>
      </w:pPr>
    </w:p>
    <w:sectPr w:rsidR="00485DAB" w:rsidRPr="00A735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70F7" w14:textId="77777777" w:rsidR="00E60C85" w:rsidRDefault="00E60C85">
      <w:pPr>
        <w:spacing w:after="0" w:line="240" w:lineRule="auto"/>
      </w:pPr>
      <w:r>
        <w:separator/>
      </w:r>
    </w:p>
  </w:endnote>
  <w:endnote w:type="continuationSeparator" w:id="0">
    <w:p w14:paraId="11E64D31" w14:textId="77777777" w:rsidR="00E60C85" w:rsidRDefault="00E6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Regular">
    <w:altName w:val="Calibri"/>
    <w:panose1 w:val="020B0604020202020204"/>
    <w:charset w:val="00"/>
    <w:family w:val="auto"/>
    <w:pitch w:val="variable"/>
    <w:sig w:usb0="00000000" w:usb1="00000040" w:usb2="00000000" w:usb3="00000000" w:csb0="000001FF" w:csb1="00000000"/>
  </w:font>
  <w:font w:name="NobelCE Lt">
    <w:altName w:val="Corbel"/>
    <w:panose1 w:val="020B0604020202020204"/>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A1B4" w14:textId="77777777" w:rsidR="00D5669D" w:rsidRDefault="00D566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2F3A9A38"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C05914">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C05914">
      <w:rPr>
        <w:rFonts w:cs="Nobel-Book"/>
        <w:noProof/>
      </w:rPr>
      <w:t>4</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2F0A" w14:textId="77777777" w:rsidR="00E60C85" w:rsidRDefault="00E60C85">
      <w:pPr>
        <w:spacing w:after="0" w:line="240" w:lineRule="auto"/>
      </w:pPr>
      <w:r>
        <w:separator/>
      </w:r>
    </w:p>
  </w:footnote>
  <w:footnote w:type="continuationSeparator" w:id="0">
    <w:p w14:paraId="4AA9F789" w14:textId="77777777" w:rsidR="00E60C85" w:rsidRDefault="00E60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8C4" w14:textId="77777777" w:rsidR="00D5669D" w:rsidRDefault="00D566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E10"/>
    <w:rsid w:val="000F0A19"/>
    <w:rsid w:val="00137D51"/>
    <w:rsid w:val="001D2EA6"/>
    <w:rsid w:val="001D32DE"/>
    <w:rsid w:val="001D3DD3"/>
    <w:rsid w:val="001D53BB"/>
    <w:rsid w:val="001D7180"/>
    <w:rsid w:val="001F3CE3"/>
    <w:rsid w:val="0023043B"/>
    <w:rsid w:val="00271713"/>
    <w:rsid w:val="0028357F"/>
    <w:rsid w:val="002901BF"/>
    <w:rsid w:val="003263EB"/>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7573A"/>
    <w:rsid w:val="00485DAB"/>
    <w:rsid w:val="004D2E0A"/>
    <w:rsid w:val="004D4855"/>
    <w:rsid w:val="005810A8"/>
    <w:rsid w:val="005B5014"/>
    <w:rsid w:val="005F6E1F"/>
    <w:rsid w:val="00632F7B"/>
    <w:rsid w:val="006837BB"/>
    <w:rsid w:val="006C6896"/>
    <w:rsid w:val="006D16BB"/>
    <w:rsid w:val="006D49C0"/>
    <w:rsid w:val="006D7FD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7F50FB"/>
    <w:rsid w:val="0080021E"/>
    <w:rsid w:val="00811464"/>
    <w:rsid w:val="008220D3"/>
    <w:rsid w:val="00827693"/>
    <w:rsid w:val="00827D4C"/>
    <w:rsid w:val="008436C7"/>
    <w:rsid w:val="00891722"/>
    <w:rsid w:val="008927F6"/>
    <w:rsid w:val="008A7CDA"/>
    <w:rsid w:val="008B309F"/>
    <w:rsid w:val="00943225"/>
    <w:rsid w:val="00954746"/>
    <w:rsid w:val="009632DF"/>
    <w:rsid w:val="00976A76"/>
    <w:rsid w:val="00984E98"/>
    <w:rsid w:val="0098539C"/>
    <w:rsid w:val="009A7104"/>
    <w:rsid w:val="009B312F"/>
    <w:rsid w:val="00A3522C"/>
    <w:rsid w:val="00A366EB"/>
    <w:rsid w:val="00A73561"/>
    <w:rsid w:val="00A93985"/>
    <w:rsid w:val="00AB3298"/>
    <w:rsid w:val="00AB32ED"/>
    <w:rsid w:val="00AD3013"/>
    <w:rsid w:val="00AF57E3"/>
    <w:rsid w:val="00B247DA"/>
    <w:rsid w:val="00B33055"/>
    <w:rsid w:val="00B439B6"/>
    <w:rsid w:val="00B445D9"/>
    <w:rsid w:val="00B50401"/>
    <w:rsid w:val="00B54AF5"/>
    <w:rsid w:val="00B6446C"/>
    <w:rsid w:val="00B65CC3"/>
    <w:rsid w:val="00B751BB"/>
    <w:rsid w:val="00BA0D15"/>
    <w:rsid w:val="00BE1228"/>
    <w:rsid w:val="00C00D21"/>
    <w:rsid w:val="00C05914"/>
    <w:rsid w:val="00C05CA1"/>
    <w:rsid w:val="00C25F4E"/>
    <w:rsid w:val="00CC1684"/>
    <w:rsid w:val="00CD062F"/>
    <w:rsid w:val="00D22134"/>
    <w:rsid w:val="00D5669D"/>
    <w:rsid w:val="00D61F12"/>
    <w:rsid w:val="00DD6DE9"/>
    <w:rsid w:val="00DF71E5"/>
    <w:rsid w:val="00E26D83"/>
    <w:rsid w:val="00E50CC7"/>
    <w:rsid w:val="00E60C85"/>
    <w:rsid w:val="00EC4B24"/>
    <w:rsid w:val="00EE121F"/>
    <w:rsid w:val="00EE7653"/>
    <w:rsid w:val="00F14B45"/>
    <w:rsid w:val="00F261B4"/>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NormalnyWeb1">
    <w:name w:val="Normalny (Web)1"/>
    <w:basedOn w:val="Normalny"/>
    <w:rsid w:val="00C05914"/>
    <w:pPr>
      <w:spacing w:before="280" w:after="280" w:line="240" w:lineRule="auto"/>
    </w:pPr>
    <w:rPr>
      <w:rFonts w:eastAsia="MS Mincho"/>
      <w:sz w:val="24"/>
      <w:szCs w:val="24"/>
      <w:lang w:val="en-US" w:eastAsia="ja-JP"/>
    </w:rPr>
  </w:style>
  <w:style w:type="paragraph" w:customStyle="1" w:styleId="Default">
    <w:name w:val="Default"/>
    <w:rsid w:val="00C05914"/>
    <w:pPr>
      <w:suppressAutoHyphens/>
      <w:autoSpaceDE w:val="0"/>
    </w:pPr>
    <w:rPr>
      <w:rFonts w:ascii="Nobel-Book" w:eastAsia="MS Mincho" w:hAnsi="Nobel-Book" w:cs="Nobel-Book"/>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5D0D-3B19-7B43-847E-F0751659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16</TotalTime>
  <Pages>4</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3</cp:revision>
  <cp:lastPrinted>2017-10-11T08:42:00Z</cp:lastPrinted>
  <dcterms:created xsi:type="dcterms:W3CDTF">2018-03-02T11:10:00Z</dcterms:created>
  <dcterms:modified xsi:type="dcterms:W3CDTF">2018-03-02T11:40:00Z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