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2F57092" w:rsidR="003309CF" w:rsidRPr="002054C7" w:rsidRDefault="000062EC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22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13080B">
        <w:rPr>
          <w:rFonts w:ascii="NobelCE Lt" w:hAnsi="NobelCE Lt"/>
          <w:sz w:val="24"/>
          <w:szCs w:val="24"/>
        </w:rPr>
        <w:t>MAJA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12DD938F" w:rsidR="00F35AB7" w:rsidRPr="002054C7" w:rsidRDefault="00CB6222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LEXUS </w:t>
      </w:r>
      <w:r w:rsidR="00090A44">
        <w:rPr>
          <w:rFonts w:ascii="NobelCE Lt" w:hAnsi="NobelCE Lt"/>
          <w:b/>
          <w:sz w:val="36"/>
          <w:szCs w:val="36"/>
        </w:rPr>
        <w:t>LBX I GWIAZDY SZTUKI CYFROWEJ. WYJĄTKOWA KAMPANIA Z MIEJSKIM CROSSOVEREM</w:t>
      </w:r>
      <w:r w:rsidR="00326303">
        <w:rPr>
          <w:rFonts w:ascii="NobelCE Lt" w:hAnsi="NobelCE Lt"/>
          <w:b/>
          <w:sz w:val="36"/>
          <w:szCs w:val="36"/>
        </w:rPr>
        <w:t xml:space="preserve"> W ROLI GŁÓWNEJ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291EB2CC" w:rsidR="007A1809" w:rsidRPr="002D05A2" w:rsidRDefault="002D05A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D05A2">
        <w:rPr>
          <w:rFonts w:ascii="NobelCE Lt" w:hAnsi="NobelCE Lt"/>
          <w:b/>
          <w:sz w:val="24"/>
          <w:szCs w:val="24"/>
        </w:rPr>
        <w:t>Czołowi europejscy artyści cyfrowi zainspirowani Lexusem LBX</w:t>
      </w:r>
    </w:p>
    <w:p w14:paraId="5AEF72E8" w14:textId="0181EF2B" w:rsidR="00F35AB7" w:rsidRPr="002D05A2" w:rsidRDefault="002D05A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D05A2">
        <w:rPr>
          <w:rFonts w:ascii="NobelCE Lt" w:hAnsi="NobelCE Lt"/>
          <w:b/>
          <w:sz w:val="24"/>
          <w:szCs w:val="24"/>
        </w:rPr>
        <w:t xml:space="preserve">W projekcie uczestniczą Szwed Andreas </w:t>
      </w:r>
      <w:proofErr w:type="spellStart"/>
      <w:r w:rsidRPr="002D05A2">
        <w:rPr>
          <w:rFonts w:ascii="NobelCE Lt" w:hAnsi="NobelCE Lt"/>
          <w:b/>
          <w:sz w:val="24"/>
          <w:szCs w:val="24"/>
        </w:rPr>
        <w:t>Wannerstedt</w:t>
      </w:r>
      <w:proofErr w:type="spellEnd"/>
      <w:r w:rsidRPr="002D05A2">
        <w:rPr>
          <w:rFonts w:ascii="NobelCE Lt" w:hAnsi="NobelCE Lt"/>
          <w:b/>
          <w:sz w:val="24"/>
          <w:szCs w:val="24"/>
        </w:rPr>
        <w:t xml:space="preserve">, Hiszpan Ricardo </w:t>
      </w:r>
      <w:proofErr w:type="spellStart"/>
      <w:r w:rsidRPr="002D05A2">
        <w:rPr>
          <w:rFonts w:ascii="NobelCE Lt" w:hAnsi="NobelCE Lt"/>
          <w:b/>
          <w:sz w:val="24"/>
          <w:szCs w:val="24"/>
        </w:rPr>
        <w:t>Ulises</w:t>
      </w:r>
      <w:proofErr w:type="spellEnd"/>
      <w:r w:rsidRPr="002D05A2">
        <w:rPr>
          <w:rFonts w:ascii="NobelCE Lt" w:hAnsi="NobelCE Lt"/>
          <w:b/>
          <w:sz w:val="24"/>
          <w:szCs w:val="24"/>
        </w:rPr>
        <w:t xml:space="preserve"> Hernandez Gomez („</w:t>
      </w:r>
      <w:proofErr w:type="spellStart"/>
      <w:r w:rsidRPr="002D05A2">
        <w:rPr>
          <w:rFonts w:ascii="NobelCE Lt" w:hAnsi="NobelCE Lt"/>
          <w:b/>
          <w:sz w:val="24"/>
          <w:szCs w:val="24"/>
        </w:rPr>
        <w:t>Ulises</w:t>
      </w:r>
      <w:proofErr w:type="spellEnd"/>
      <w:r w:rsidRPr="002D05A2">
        <w:rPr>
          <w:rFonts w:ascii="NobelCE Lt" w:hAnsi="NobelCE Lt"/>
          <w:b/>
          <w:sz w:val="24"/>
          <w:szCs w:val="24"/>
        </w:rPr>
        <w:t>”) oraz Brytyjka Charlotte Taylor</w:t>
      </w:r>
    </w:p>
    <w:p w14:paraId="353D0093" w14:textId="4CADF2B0" w:rsidR="0050432E" w:rsidRPr="002D05A2" w:rsidRDefault="002D05A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Wyjątkowe cyfrowe projekty i unikalne spojrzenie na przełomowego miejskiego </w:t>
      </w:r>
      <w:proofErr w:type="spellStart"/>
      <w:r>
        <w:rPr>
          <w:rFonts w:ascii="NobelCE Lt" w:hAnsi="NobelCE Lt"/>
          <w:b/>
          <w:sz w:val="24"/>
          <w:szCs w:val="24"/>
        </w:rPr>
        <w:t>crossovera</w:t>
      </w:r>
      <w:proofErr w:type="spellEnd"/>
    </w:p>
    <w:p w14:paraId="01CA26CE" w14:textId="7DD26737" w:rsidR="00E33830" w:rsidRPr="002D05A2" w:rsidRDefault="001B17C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LBX to model jakiego w gamie Lexusa jeszcze nie było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0D47B4A" w14:textId="02D2ECD8" w:rsidR="007372FC" w:rsidRDefault="003A273A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r w:rsidR="002D05A2">
        <w:rPr>
          <w:rFonts w:ascii="NobelCE Lt" w:hAnsi="NobelCE Lt"/>
          <w:bCs/>
          <w:sz w:val="24"/>
          <w:szCs w:val="24"/>
        </w:rPr>
        <w:t>jest blisko związany ze światem kultury i sztuki, wspiera najważniejsze i najbardziej prestiżowe wydarzenia oraz projektantów młodego pokolenia. W związku z rynkowym debiutem nowego Lexusa LBX zaprosił do współpracy czołowych europejskich artystów cyfrowych</w:t>
      </w:r>
      <w:r w:rsidR="006C1715">
        <w:rPr>
          <w:rFonts w:ascii="NobelCE Lt" w:hAnsi="NobelCE Lt"/>
          <w:bCs/>
          <w:sz w:val="24"/>
          <w:szCs w:val="24"/>
        </w:rPr>
        <w:t>. Stworzyli oni</w:t>
      </w:r>
      <w:r w:rsidR="002D05A2">
        <w:rPr>
          <w:rFonts w:ascii="NobelCE Lt" w:hAnsi="NobelCE Lt"/>
          <w:bCs/>
          <w:sz w:val="24"/>
          <w:szCs w:val="24"/>
        </w:rPr>
        <w:t xml:space="preserve"> unikaln</w:t>
      </w:r>
      <w:r w:rsidR="006C1715">
        <w:rPr>
          <w:rFonts w:ascii="NobelCE Lt" w:hAnsi="NobelCE Lt"/>
          <w:bCs/>
          <w:sz w:val="24"/>
          <w:szCs w:val="24"/>
        </w:rPr>
        <w:t>e</w:t>
      </w:r>
      <w:r w:rsidR="002D05A2">
        <w:rPr>
          <w:rFonts w:ascii="NobelCE Lt" w:hAnsi="NobelCE Lt"/>
          <w:bCs/>
          <w:sz w:val="24"/>
          <w:szCs w:val="24"/>
        </w:rPr>
        <w:t xml:space="preserve"> projekt</w:t>
      </w:r>
      <w:r w:rsidR="006C1715">
        <w:rPr>
          <w:rFonts w:ascii="NobelCE Lt" w:hAnsi="NobelCE Lt"/>
          <w:bCs/>
          <w:sz w:val="24"/>
          <w:szCs w:val="24"/>
        </w:rPr>
        <w:t>y</w:t>
      </w:r>
      <w:r w:rsidR="002D05A2">
        <w:rPr>
          <w:rFonts w:ascii="NobelCE Lt" w:hAnsi="NobelCE Lt"/>
          <w:bCs/>
          <w:sz w:val="24"/>
          <w:szCs w:val="24"/>
        </w:rPr>
        <w:t xml:space="preserve"> inspirowan</w:t>
      </w:r>
      <w:r w:rsidR="006C1715">
        <w:rPr>
          <w:rFonts w:ascii="NobelCE Lt" w:hAnsi="NobelCE Lt"/>
          <w:bCs/>
          <w:sz w:val="24"/>
          <w:szCs w:val="24"/>
        </w:rPr>
        <w:t>e</w:t>
      </w:r>
      <w:r w:rsidR="002D05A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2D05A2">
        <w:rPr>
          <w:rFonts w:ascii="NobelCE Lt" w:hAnsi="NobelCE Lt"/>
          <w:bCs/>
          <w:sz w:val="24"/>
          <w:szCs w:val="24"/>
        </w:rPr>
        <w:t>crossoverem</w:t>
      </w:r>
      <w:proofErr w:type="spellEnd"/>
      <w:r w:rsidR="007372FC">
        <w:rPr>
          <w:rFonts w:ascii="NobelCE Lt" w:hAnsi="NobelCE Lt"/>
          <w:bCs/>
          <w:sz w:val="24"/>
          <w:szCs w:val="24"/>
        </w:rPr>
        <w:t xml:space="preserve">, </w:t>
      </w:r>
      <w:r w:rsidR="002D05A2">
        <w:rPr>
          <w:rFonts w:ascii="NobelCE Lt" w:hAnsi="NobelCE Lt"/>
          <w:bCs/>
          <w:sz w:val="24"/>
          <w:szCs w:val="24"/>
        </w:rPr>
        <w:t>kampanią „</w:t>
      </w:r>
      <w:proofErr w:type="spellStart"/>
      <w:r w:rsidR="002D05A2">
        <w:rPr>
          <w:rFonts w:ascii="NobelCE Lt" w:hAnsi="NobelCE Lt"/>
          <w:bCs/>
          <w:sz w:val="24"/>
          <w:szCs w:val="24"/>
        </w:rPr>
        <w:t>Everyday</w:t>
      </w:r>
      <w:proofErr w:type="spellEnd"/>
      <w:r w:rsidR="002D05A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2D05A2">
        <w:rPr>
          <w:rFonts w:ascii="NobelCE Lt" w:hAnsi="NobelCE Lt"/>
          <w:bCs/>
          <w:sz w:val="24"/>
          <w:szCs w:val="24"/>
        </w:rPr>
        <w:t>Extraordinary</w:t>
      </w:r>
      <w:proofErr w:type="spellEnd"/>
      <w:r w:rsidR="002D05A2">
        <w:rPr>
          <w:rFonts w:ascii="NobelCE Lt" w:hAnsi="NobelCE Lt"/>
          <w:bCs/>
          <w:sz w:val="24"/>
          <w:szCs w:val="24"/>
        </w:rPr>
        <w:t>” promującą t</w:t>
      </w:r>
      <w:r w:rsidR="006C1715">
        <w:rPr>
          <w:rFonts w:ascii="NobelCE Lt" w:hAnsi="NobelCE Lt"/>
          <w:bCs/>
          <w:sz w:val="24"/>
          <w:szCs w:val="24"/>
        </w:rPr>
        <w:t xml:space="preserve">o auto </w:t>
      </w:r>
      <w:r w:rsidR="007372FC">
        <w:rPr>
          <w:rFonts w:ascii="NobelCE Lt" w:hAnsi="NobelCE Lt"/>
          <w:bCs/>
          <w:sz w:val="24"/>
          <w:szCs w:val="24"/>
        </w:rPr>
        <w:t>oraz miejskim życiem</w:t>
      </w:r>
      <w:r w:rsidR="006C1715">
        <w:rPr>
          <w:rFonts w:ascii="NobelCE Lt" w:hAnsi="NobelCE Lt"/>
          <w:bCs/>
          <w:sz w:val="24"/>
          <w:szCs w:val="24"/>
        </w:rPr>
        <w:t xml:space="preserve">, by kolejny raz w nieoczywisty </w:t>
      </w:r>
      <w:r w:rsidR="007372FC">
        <w:rPr>
          <w:rFonts w:ascii="NobelCE Lt" w:hAnsi="NobelCE Lt"/>
          <w:bCs/>
          <w:sz w:val="24"/>
          <w:szCs w:val="24"/>
        </w:rPr>
        <w:t>sposób przybliż</w:t>
      </w:r>
      <w:r w:rsidR="006C1715">
        <w:rPr>
          <w:rFonts w:ascii="NobelCE Lt" w:hAnsi="NobelCE Lt"/>
          <w:bCs/>
          <w:sz w:val="24"/>
          <w:szCs w:val="24"/>
        </w:rPr>
        <w:t>yć najmniejszy model</w:t>
      </w:r>
      <w:r w:rsidR="007372FC">
        <w:rPr>
          <w:rFonts w:ascii="NobelCE Lt" w:hAnsi="NobelCE Lt"/>
          <w:bCs/>
          <w:sz w:val="24"/>
          <w:szCs w:val="24"/>
        </w:rPr>
        <w:t xml:space="preserve"> w gamie marki. Wcześniej odbyły się premierowe pokazy </w:t>
      </w:r>
      <w:r w:rsidR="006C1715">
        <w:rPr>
          <w:rFonts w:ascii="NobelCE Lt" w:hAnsi="NobelCE Lt"/>
          <w:bCs/>
          <w:sz w:val="24"/>
          <w:szCs w:val="24"/>
        </w:rPr>
        <w:t>LBX-a</w:t>
      </w:r>
      <w:r w:rsidR="007372FC">
        <w:rPr>
          <w:rFonts w:ascii="NobelCE Lt" w:hAnsi="NobelCE Lt"/>
          <w:bCs/>
          <w:sz w:val="24"/>
          <w:szCs w:val="24"/>
        </w:rPr>
        <w:t xml:space="preserve"> w największych europejskich metropoliach. </w:t>
      </w:r>
      <w:r w:rsidR="007372FC" w:rsidRPr="007372FC">
        <w:rPr>
          <w:rFonts w:ascii="NobelCE Lt" w:hAnsi="NobelCE Lt"/>
          <w:bCs/>
          <w:sz w:val="24"/>
          <w:szCs w:val="24"/>
        </w:rPr>
        <w:t xml:space="preserve">Wydarzenia łączące sztukę nowoczesną z Lexusem </w:t>
      </w:r>
      <w:r w:rsidR="007372FC">
        <w:rPr>
          <w:rFonts w:ascii="NobelCE Lt" w:hAnsi="NobelCE Lt"/>
          <w:bCs/>
          <w:sz w:val="24"/>
          <w:szCs w:val="24"/>
        </w:rPr>
        <w:t>zorganizowano</w:t>
      </w:r>
      <w:r w:rsidR="007372FC" w:rsidRPr="007372FC">
        <w:rPr>
          <w:rFonts w:ascii="NobelCE Lt" w:hAnsi="NobelCE Lt"/>
          <w:bCs/>
          <w:sz w:val="24"/>
          <w:szCs w:val="24"/>
        </w:rPr>
        <w:t xml:space="preserve"> w Mediolanie, Londynie, Madrycie i Paryżu</w:t>
      </w:r>
      <w:r w:rsidR="007372FC">
        <w:rPr>
          <w:rFonts w:ascii="NobelCE Lt" w:hAnsi="NobelCE Lt"/>
          <w:bCs/>
          <w:sz w:val="24"/>
          <w:szCs w:val="24"/>
        </w:rPr>
        <w:t>.</w:t>
      </w:r>
    </w:p>
    <w:p w14:paraId="76F99D99" w14:textId="77777777" w:rsidR="007372FC" w:rsidRDefault="007372FC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751DD2" w14:textId="6AC3BF8A" w:rsidR="002D05A2" w:rsidRDefault="007372FC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Do współpracy w ramach </w:t>
      </w:r>
      <w:r w:rsidR="006C1715">
        <w:rPr>
          <w:rFonts w:ascii="NobelCE Lt" w:hAnsi="NobelCE Lt"/>
          <w:bCs/>
          <w:sz w:val="24"/>
          <w:szCs w:val="24"/>
        </w:rPr>
        <w:t xml:space="preserve">najnowszego </w:t>
      </w:r>
      <w:r>
        <w:rPr>
          <w:rFonts w:ascii="NobelCE Lt" w:hAnsi="NobelCE Lt"/>
          <w:bCs/>
          <w:sz w:val="24"/>
          <w:szCs w:val="24"/>
        </w:rPr>
        <w:t>projektu, któr</w:t>
      </w:r>
      <w:r w:rsidR="006C1715">
        <w:rPr>
          <w:rFonts w:ascii="NobelCE Lt" w:hAnsi="NobelCE Lt"/>
          <w:bCs/>
          <w:sz w:val="24"/>
          <w:szCs w:val="24"/>
        </w:rPr>
        <w:t>ego efekty</w:t>
      </w:r>
      <w:r>
        <w:rPr>
          <w:rFonts w:ascii="NobelCE Lt" w:hAnsi="NobelCE Lt"/>
          <w:bCs/>
          <w:sz w:val="24"/>
          <w:szCs w:val="24"/>
        </w:rPr>
        <w:t xml:space="preserve"> od środy </w:t>
      </w:r>
      <w:r w:rsidR="006C1715">
        <w:rPr>
          <w:rFonts w:ascii="NobelCE Lt" w:hAnsi="NobelCE Lt"/>
          <w:bCs/>
          <w:sz w:val="24"/>
          <w:szCs w:val="24"/>
        </w:rPr>
        <w:t>można śledzić</w:t>
      </w:r>
      <w:r>
        <w:rPr>
          <w:rFonts w:ascii="NobelCE Lt" w:hAnsi="NobelCE Lt"/>
          <w:bCs/>
          <w:sz w:val="24"/>
          <w:szCs w:val="24"/>
        </w:rPr>
        <w:t xml:space="preserve"> w kanałach </w:t>
      </w:r>
      <w:proofErr w:type="spellStart"/>
      <w:r>
        <w:rPr>
          <w:rFonts w:ascii="NobelCE Lt" w:hAnsi="NobelCE Lt"/>
          <w:bCs/>
          <w:sz w:val="24"/>
          <w:szCs w:val="24"/>
        </w:rPr>
        <w:t>social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media marki, </w:t>
      </w:r>
      <w:r w:rsidR="002D05A2">
        <w:rPr>
          <w:rFonts w:ascii="NobelCE Lt" w:hAnsi="NobelCE Lt"/>
          <w:bCs/>
          <w:sz w:val="24"/>
          <w:szCs w:val="24"/>
        </w:rPr>
        <w:t xml:space="preserve">zaproszono </w:t>
      </w:r>
      <w:r w:rsidR="002D05A2" w:rsidRPr="002D05A2">
        <w:rPr>
          <w:rFonts w:ascii="NobelCE Lt" w:hAnsi="NobelCE Lt"/>
          <w:bCs/>
          <w:sz w:val="24"/>
          <w:szCs w:val="24"/>
        </w:rPr>
        <w:t>Szwed</w:t>
      </w:r>
      <w:r w:rsidR="002D05A2">
        <w:rPr>
          <w:rFonts w:ascii="NobelCE Lt" w:hAnsi="NobelCE Lt"/>
          <w:bCs/>
          <w:sz w:val="24"/>
          <w:szCs w:val="24"/>
        </w:rPr>
        <w:t>a</w:t>
      </w:r>
      <w:r w:rsidR="002D05A2" w:rsidRPr="002D05A2">
        <w:rPr>
          <w:rFonts w:ascii="NobelCE Lt" w:hAnsi="NobelCE Lt"/>
          <w:bCs/>
          <w:sz w:val="24"/>
          <w:szCs w:val="24"/>
        </w:rPr>
        <w:t xml:space="preserve"> Andreas</w:t>
      </w:r>
      <w:r w:rsidR="002D05A2">
        <w:rPr>
          <w:rFonts w:ascii="NobelCE Lt" w:hAnsi="NobelCE Lt"/>
          <w:bCs/>
          <w:sz w:val="24"/>
          <w:szCs w:val="24"/>
        </w:rPr>
        <w:t>a</w:t>
      </w:r>
      <w:r w:rsidR="002D05A2" w:rsidRPr="002D05A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2D05A2" w:rsidRPr="002D05A2">
        <w:rPr>
          <w:rFonts w:ascii="NobelCE Lt" w:hAnsi="NobelCE Lt"/>
          <w:bCs/>
          <w:sz w:val="24"/>
          <w:szCs w:val="24"/>
        </w:rPr>
        <w:t>Wannerstedt</w:t>
      </w:r>
      <w:r w:rsidR="002D05A2">
        <w:rPr>
          <w:rFonts w:ascii="NobelCE Lt" w:hAnsi="NobelCE Lt"/>
          <w:bCs/>
          <w:sz w:val="24"/>
          <w:szCs w:val="24"/>
        </w:rPr>
        <w:t>a</w:t>
      </w:r>
      <w:proofErr w:type="spellEnd"/>
      <w:r>
        <w:rPr>
          <w:rFonts w:ascii="NobelCE Lt" w:hAnsi="NobelCE Lt"/>
          <w:bCs/>
          <w:sz w:val="24"/>
          <w:szCs w:val="24"/>
        </w:rPr>
        <w:t>,</w:t>
      </w:r>
      <w:r w:rsidR="002D05A2" w:rsidRPr="002D05A2">
        <w:rPr>
          <w:rFonts w:ascii="NobelCE Lt" w:hAnsi="NobelCE Lt"/>
          <w:bCs/>
          <w:sz w:val="24"/>
          <w:szCs w:val="24"/>
        </w:rPr>
        <w:t xml:space="preserve"> Hiszpan</w:t>
      </w:r>
      <w:r w:rsidR="002D05A2">
        <w:rPr>
          <w:rFonts w:ascii="NobelCE Lt" w:hAnsi="NobelCE Lt"/>
          <w:bCs/>
          <w:sz w:val="24"/>
          <w:szCs w:val="24"/>
        </w:rPr>
        <w:t>a</w:t>
      </w:r>
      <w:r w:rsidR="002D05A2" w:rsidRPr="002D05A2">
        <w:rPr>
          <w:rFonts w:ascii="NobelCE Lt" w:hAnsi="NobelCE Lt"/>
          <w:bCs/>
          <w:sz w:val="24"/>
          <w:szCs w:val="24"/>
        </w:rPr>
        <w:t xml:space="preserve"> Ricardo </w:t>
      </w:r>
      <w:proofErr w:type="spellStart"/>
      <w:r w:rsidR="002D05A2" w:rsidRPr="002D05A2">
        <w:rPr>
          <w:rFonts w:ascii="NobelCE Lt" w:hAnsi="NobelCE Lt"/>
          <w:bCs/>
          <w:sz w:val="24"/>
          <w:szCs w:val="24"/>
        </w:rPr>
        <w:t>Ulises</w:t>
      </w:r>
      <w:r w:rsidR="002D05A2">
        <w:rPr>
          <w:rFonts w:ascii="NobelCE Lt" w:hAnsi="NobelCE Lt"/>
          <w:bCs/>
          <w:sz w:val="24"/>
          <w:szCs w:val="24"/>
        </w:rPr>
        <w:t>a</w:t>
      </w:r>
      <w:proofErr w:type="spellEnd"/>
      <w:r w:rsidR="002D05A2" w:rsidRPr="002D05A2">
        <w:rPr>
          <w:rFonts w:ascii="NobelCE Lt" w:hAnsi="NobelCE Lt"/>
          <w:bCs/>
          <w:sz w:val="24"/>
          <w:szCs w:val="24"/>
        </w:rPr>
        <w:t xml:space="preserve"> Hernandez</w:t>
      </w:r>
      <w:r w:rsidR="002D05A2">
        <w:rPr>
          <w:rFonts w:ascii="NobelCE Lt" w:hAnsi="NobelCE Lt"/>
          <w:bCs/>
          <w:sz w:val="24"/>
          <w:szCs w:val="24"/>
        </w:rPr>
        <w:t>a</w:t>
      </w:r>
      <w:r w:rsidR="002D05A2" w:rsidRPr="002D05A2">
        <w:rPr>
          <w:rFonts w:ascii="NobelCE Lt" w:hAnsi="NobelCE Lt"/>
          <w:bCs/>
          <w:sz w:val="24"/>
          <w:szCs w:val="24"/>
        </w:rPr>
        <w:t xml:space="preserve"> Gomez</w:t>
      </w:r>
      <w:r w:rsidR="002D05A2">
        <w:rPr>
          <w:rFonts w:ascii="NobelCE Lt" w:hAnsi="NobelCE Lt"/>
          <w:bCs/>
          <w:sz w:val="24"/>
          <w:szCs w:val="24"/>
        </w:rPr>
        <w:t>a</w:t>
      </w:r>
      <w:r w:rsidR="002D05A2" w:rsidRPr="002D05A2">
        <w:rPr>
          <w:rFonts w:ascii="NobelCE Lt" w:hAnsi="NobelCE Lt"/>
          <w:bCs/>
          <w:sz w:val="24"/>
          <w:szCs w:val="24"/>
        </w:rPr>
        <w:t xml:space="preserve"> („</w:t>
      </w:r>
      <w:proofErr w:type="spellStart"/>
      <w:r w:rsidR="002D05A2" w:rsidRPr="002D05A2">
        <w:rPr>
          <w:rFonts w:ascii="NobelCE Lt" w:hAnsi="NobelCE Lt"/>
          <w:bCs/>
          <w:sz w:val="24"/>
          <w:szCs w:val="24"/>
        </w:rPr>
        <w:t>Ulises</w:t>
      </w:r>
      <w:proofErr w:type="spellEnd"/>
      <w:r w:rsidR="002D05A2" w:rsidRPr="002D05A2">
        <w:rPr>
          <w:rFonts w:ascii="NobelCE Lt" w:hAnsi="NobelCE Lt"/>
          <w:bCs/>
          <w:sz w:val="24"/>
          <w:szCs w:val="24"/>
        </w:rPr>
        <w:t>”) oraz Brytyjk</w:t>
      </w:r>
      <w:r w:rsidR="002D05A2">
        <w:rPr>
          <w:rFonts w:ascii="NobelCE Lt" w:hAnsi="NobelCE Lt"/>
          <w:bCs/>
          <w:sz w:val="24"/>
          <w:szCs w:val="24"/>
        </w:rPr>
        <w:t>ę</w:t>
      </w:r>
      <w:r w:rsidR="002D05A2" w:rsidRPr="002D05A2">
        <w:rPr>
          <w:rFonts w:ascii="NobelCE Lt" w:hAnsi="NobelCE Lt"/>
          <w:bCs/>
          <w:sz w:val="24"/>
          <w:szCs w:val="24"/>
        </w:rPr>
        <w:t xml:space="preserve"> Charlotte Taylor</w:t>
      </w:r>
      <w:r w:rsidR="002D05A2">
        <w:rPr>
          <w:rFonts w:ascii="NobelCE Lt" w:hAnsi="NobelCE Lt"/>
          <w:bCs/>
          <w:sz w:val="24"/>
          <w:szCs w:val="24"/>
        </w:rPr>
        <w:t>, którzy</w:t>
      </w:r>
      <w:r w:rsidR="006C1715">
        <w:rPr>
          <w:rFonts w:ascii="NobelCE Lt" w:hAnsi="NobelCE Lt"/>
          <w:bCs/>
          <w:sz w:val="24"/>
          <w:szCs w:val="24"/>
        </w:rPr>
        <w:t>,</w:t>
      </w:r>
      <w:r w:rsidR="002D05A2">
        <w:rPr>
          <w:rFonts w:ascii="NobelCE Lt" w:hAnsi="NobelCE Lt"/>
          <w:bCs/>
          <w:sz w:val="24"/>
          <w:szCs w:val="24"/>
        </w:rPr>
        <w:t xml:space="preserve"> tak jak klienci młodego pokolenia</w:t>
      </w:r>
      <w:r w:rsidR="006C1715">
        <w:rPr>
          <w:rFonts w:ascii="NobelCE Lt" w:hAnsi="NobelCE Lt"/>
          <w:bCs/>
          <w:sz w:val="24"/>
          <w:szCs w:val="24"/>
        </w:rPr>
        <w:t>,</w:t>
      </w:r>
      <w:r w:rsidR="002D05A2">
        <w:rPr>
          <w:rFonts w:ascii="NobelCE Lt" w:hAnsi="NobelCE Lt"/>
          <w:bCs/>
          <w:sz w:val="24"/>
          <w:szCs w:val="24"/>
        </w:rPr>
        <w:t xml:space="preserve"> cenią najwyższą jakość w </w:t>
      </w:r>
      <w:r w:rsidR="006C1715">
        <w:rPr>
          <w:rFonts w:ascii="NobelCE Lt" w:hAnsi="NobelCE Lt"/>
          <w:bCs/>
          <w:sz w:val="24"/>
          <w:szCs w:val="24"/>
        </w:rPr>
        <w:t>nie</w:t>
      </w:r>
      <w:r w:rsidR="002D05A2">
        <w:rPr>
          <w:rFonts w:ascii="NobelCE Lt" w:hAnsi="NobelCE Lt"/>
          <w:bCs/>
          <w:sz w:val="24"/>
          <w:szCs w:val="24"/>
        </w:rPr>
        <w:t xml:space="preserve">zobowiązującym wydaniu. </w:t>
      </w:r>
      <w:r>
        <w:rPr>
          <w:rFonts w:ascii="NobelCE Lt" w:hAnsi="NobelCE Lt"/>
          <w:bCs/>
          <w:sz w:val="24"/>
          <w:szCs w:val="24"/>
        </w:rPr>
        <w:t xml:space="preserve">Artyści </w:t>
      </w:r>
      <w:r w:rsidR="006C1715">
        <w:rPr>
          <w:rFonts w:ascii="NobelCE Lt" w:hAnsi="NobelCE Lt"/>
          <w:bCs/>
          <w:sz w:val="24"/>
          <w:szCs w:val="24"/>
        </w:rPr>
        <w:t xml:space="preserve">w </w:t>
      </w:r>
      <w:proofErr w:type="spellStart"/>
      <w:r w:rsidR="006C1715">
        <w:rPr>
          <w:rFonts w:ascii="NobelCE Lt" w:hAnsi="NobelCE Lt"/>
          <w:bCs/>
          <w:sz w:val="24"/>
          <w:szCs w:val="24"/>
        </w:rPr>
        <w:t>social</w:t>
      </w:r>
      <w:proofErr w:type="spellEnd"/>
      <w:r w:rsidR="006C1715">
        <w:rPr>
          <w:rFonts w:ascii="NobelCE Lt" w:hAnsi="NobelCE Lt"/>
          <w:bCs/>
          <w:sz w:val="24"/>
          <w:szCs w:val="24"/>
        </w:rPr>
        <w:t xml:space="preserve"> mediach </w:t>
      </w:r>
      <w:r>
        <w:rPr>
          <w:rFonts w:ascii="NobelCE Lt" w:hAnsi="NobelCE Lt"/>
          <w:bCs/>
          <w:sz w:val="24"/>
          <w:szCs w:val="24"/>
        </w:rPr>
        <w:t>nie tylko prezentują swoje prace, ale</w:t>
      </w:r>
      <w:r w:rsidR="002D05A2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odkrywają też kulisy twórczego procesu</w:t>
      </w:r>
      <w:r w:rsidR="002D05A2">
        <w:rPr>
          <w:rFonts w:ascii="NobelCE Lt" w:hAnsi="NobelCE Lt"/>
          <w:bCs/>
          <w:sz w:val="24"/>
          <w:szCs w:val="24"/>
        </w:rPr>
        <w:t>.</w:t>
      </w:r>
    </w:p>
    <w:p w14:paraId="61C39F41" w14:textId="77777777" w:rsidR="006C1715" w:rsidRDefault="006C1715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223CDE" w14:textId="77777777" w:rsidR="006C1715" w:rsidRDefault="006C1715" w:rsidP="006C171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FB4836A" w14:textId="02D14D9B" w:rsidR="006C1715" w:rsidRDefault="006C1715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„LBX reprezentuje zupełnie nowe spojrzenie na codzienność. Auto, jego kształty oraz gama kolorystyczna zainspirowały mnie do stworzenia dzieła, które pokazuje nową perspektywę na miejskie życie” – mówił o swoim projekcie </w:t>
      </w:r>
      <w:proofErr w:type="spellStart"/>
      <w:r w:rsidRPr="007372FC">
        <w:rPr>
          <w:rFonts w:ascii="NobelCE Lt" w:hAnsi="NobelCE Lt"/>
          <w:bCs/>
          <w:sz w:val="24"/>
          <w:szCs w:val="24"/>
        </w:rPr>
        <w:t>Wannerstedt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Z kolei Hiszpan </w:t>
      </w:r>
      <w:proofErr w:type="spellStart"/>
      <w:r>
        <w:rPr>
          <w:rFonts w:ascii="NobelCE Lt" w:hAnsi="NobelCE Lt"/>
          <w:bCs/>
          <w:sz w:val="24"/>
          <w:szCs w:val="24"/>
        </w:rPr>
        <w:t>Ulises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stworzył animację, w której szara miejska architektura po przejeździe LBX-a nabiera kolorów.</w:t>
      </w:r>
    </w:p>
    <w:p w14:paraId="07A6CA7D" w14:textId="77777777" w:rsidR="002D05A2" w:rsidRDefault="002D05A2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773573" w14:textId="22CCEA33" w:rsidR="002D05A2" w:rsidRDefault="002D05A2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„To niesamowite móc oglądać jak filozofia wokół Lexusa LBX oraz miejska codzienność został</w:t>
      </w:r>
      <w:r w:rsidR="006C1715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zinterpretowan</w:t>
      </w:r>
      <w:r w:rsidR="006C1715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przez tych wyjątkowych twórców cyfrowych. Projektując naszego miejskiego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chcieliśmy </w:t>
      </w:r>
      <w:r w:rsidR="00A034A9">
        <w:rPr>
          <w:rFonts w:ascii="NobelCE Lt" w:hAnsi="NobelCE Lt"/>
          <w:bCs/>
          <w:sz w:val="24"/>
          <w:szCs w:val="24"/>
        </w:rPr>
        <w:t xml:space="preserve">stworzyć auto o bardzo otwartym i przystępnych charakterze, w którym każdy od razu świetnie się poczuje. </w:t>
      </w:r>
      <w:r w:rsidR="006C1715">
        <w:rPr>
          <w:rFonts w:ascii="NobelCE Lt" w:hAnsi="NobelCE Lt"/>
          <w:bCs/>
          <w:sz w:val="24"/>
          <w:szCs w:val="24"/>
        </w:rPr>
        <w:t>Zaproszeni do współpracy</w:t>
      </w:r>
      <w:r w:rsidR="00A034A9">
        <w:rPr>
          <w:rFonts w:ascii="NobelCE Lt" w:hAnsi="NobelCE Lt"/>
          <w:bCs/>
          <w:sz w:val="24"/>
          <w:szCs w:val="24"/>
        </w:rPr>
        <w:t xml:space="preserve"> arty</w:t>
      </w:r>
      <w:r w:rsidR="006C1715">
        <w:rPr>
          <w:rFonts w:ascii="NobelCE Lt" w:hAnsi="NobelCE Lt"/>
          <w:bCs/>
          <w:sz w:val="24"/>
          <w:szCs w:val="24"/>
        </w:rPr>
        <w:t>ści</w:t>
      </w:r>
      <w:r w:rsidR="00A034A9">
        <w:rPr>
          <w:rFonts w:ascii="NobelCE Lt" w:hAnsi="NobelCE Lt"/>
          <w:bCs/>
          <w:sz w:val="24"/>
          <w:szCs w:val="24"/>
        </w:rPr>
        <w:t xml:space="preserve"> idealnie </w:t>
      </w:r>
      <w:r w:rsidR="007372FC">
        <w:rPr>
          <w:rFonts w:ascii="NobelCE Lt" w:hAnsi="NobelCE Lt"/>
          <w:bCs/>
          <w:sz w:val="24"/>
          <w:szCs w:val="24"/>
        </w:rPr>
        <w:t>uchwyci</w:t>
      </w:r>
      <w:r w:rsidR="006C1715">
        <w:rPr>
          <w:rFonts w:ascii="NobelCE Lt" w:hAnsi="NobelCE Lt"/>
          <w:bCs/>
          <w:sz w:val="24"/>
          <w:szCs w:val="24"/>
        </w:rPr>
        <w:t>li</w:t>
      </w:r>
      <w:r w:rsidR="007372FC">
        <w:rPr>
          <w:rFonts w:ascii="NobelCE Lt" w:hAnsi="NobelCE Lt"/>
          <w:bCs/>
          <w:sz w:val="24"/>
          <w:szCs w:val="24"/>
        </w:rPr>
        <w:t xml:space="preserve"> te cechy, stosując jednocześnie własną wizję twórczą” – powiedział </w:t>
      </w:r>
      <w:r w:rsidR="007372FC" w:rsidRPr="007372FC">
        <w:rPr>
          <w:rFonts w:ascii="NobelCE Lt" w:hAnsi="NobelCE Lt"/>
          <w:bCs/>
          <w:sz w:val="24"/>
          <w:szCs w:val="24"/>
        </w:rPr>
        <w:t xml:space="preserve">Filip </w:t>
      </w:r>
      <w:proofErr w:type="spellStart"/>
      <w:r w:rsidR="007372FC" w:rsidRPr="007372FC">
        <w:rPr>
          <w:rFonts w:ascii="NobelCE Lt" w:hAnsi="NobelCE Lt"/>
          <w:bCs/>
          <w:sz w:val="24"/>
          <w:szCs w:val="24"/>
        </w:rPr>
        <w:t>Belmans</w:t>
      </w:r>
      <w:proofErr w:type="spellEnd"/>
      <w:r w:rsidR="007372FC" w:rsidRPr="007372FC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="007372FC" w:rsidRPr="007372FC">
        <w:rPr>
          <w:rFonts w:ascii="NobelCE Lt" w:hAnsi="NobelCE Lt"/>
          <w:bCs/>
          <w:sz w:val="24"/>
          <w:szCs w:val="24"/>
        </w:rPr>
        <w:t>Head</w:t>
      </w:r>
      <w:proofErr w:type="spellEnd"/>
      <w:r w:rsidR="007372FC" w:rsidRPr="007372FC">
        <w:rPr>
          <w:rFonts w:ascii="NobelCE Lt" w:hAnsi="NobelCE Lt"/>
          <w:bCs/>
          <w:sz w:val="24"/>
          <w:szCs w:val="24"/>
        </w:rPr>
        <w:t xml:space="preserve"> of Communications and </w:t>
      </w:r>
      <w:proofErr w:type="spellStart"/>
      <w:r w:rsidR="007372FC" w:rsidRPr="007372FC">
        <w:rPr>
          <w:rFonts w:ascii="NobelCE Lt" w:hAnsi="NobelCE Lt"/>
          <w:bCs/>
          <w:sz w:val="24"/>
          <w:szCs w:val="24"/>
        </w:rPr>
        <w:t>Customer</w:t>
      </w:r>
      <w:proofErr w:type="spellEnd"/>
      <w:r w:rsidR="007372FC" w:rsidRPr="007372F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7372FC" w:rsidRPr="007372FC">
        <w:rPr>
          <w:rFonts w:ascii="NobelCE Lt" w:hAnsi="NobelCE Lt"/>
          <w:bCs/>
          <w:sz w:val="24"/>
          <w:szCs w:val="24"/>
        </w:rPr>
        <w:t>Experience</w:t>
      </w:r>
      <w:proofErr w:type="spellEnd"/>
      <w:r w:rsidR="007372FC">
        <w:rPr>
          <w:rFonts w:ascii="NobelCE Lt" w:hAnsi="NobelCE Lt"/>
          <w:bCs/>
          <w:sz w:val="24"/>
          <w:szCs w:val="24"/>
        </w:rPr>
        <w:t xml:space="preserve"> w </w:t>
      </w:r>
      <w:r w:rsidR="007372FC" w:rsidRPr="007372FC">
        <w:rPr>
          <w:rFonts w:ascii="NobelCE Lt" w:hAnsi="NobelCE Lt"/>
          <w:bCs/>
          <w:sz w:val="24"/>
          <w:szCs w:val="24"/>
        </w:rPr>
        <w:t>Lexus Europe</w:t>
      </w:r>
      <w:r w:rsidR="007372FC">
        <w:rPr>
          <w:rFonts w:ascii="NobelCE Lt" w:hAnsi="NobelCE Lt"/>
          <w:bCs/>
          <w:sz w:val="24"/>
          <w:szCs w:val="24"/>
        </w:rPr>
        <w:t xml:space="preserve">. </w:t>
      </w:r>
    </w:p>
    <w:p w14:paraId="06C78E1F" w14:textId="77777777" w:rsidR="007372FC" w:rsidRDefault="007372FC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7AB54A" w14:textId="39FADAA9" w:rsidR="007372FC" w:rsidRDefault="007372FC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LBX to przełomowy model dla marki. Samochód, który otwiera gamę hybrydowych </w:t>
      </w:r>
      <w:proofErr w:type="spellStart"/>
      <w:r>
        <w:rPr>
          <w:rFonts w:ascii="NobelCE Lt" w:hAnsi="NobelCE Lt"/>
          <w:bCs/>
          <w:sz w:val="24"/>
          <w:szCs w:val="24"/>
        </w:rPr>
        <w:t>crossoverów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SUV-ów, został stworzony z myślą o europejskich klientach, łącząc innowacyjność i zaawansowanie technologiczne z wyróżniającym się designem. </w:t>
      </w:r>
      <w:r w:rsidRPr="007372FC">
        <w:rPr>
          <w:rFonts w:ascii="NobelCE Lt" w:hAnsi="NobelCE Lt"/>
          <w:bCs/>
          <w:sz w:val="24"/>
          <w:szCs w:val="24"/>
        </w:rPr>
        <w:t xml:space="preserve">Uwagę zwracają m.in. kierunkowskazy i światła do </w:t>
      </w:r>
      <w:r w:rsidR="00D30783">
        <w:rPr>
          <w:rFonts w:ascii="NobelCE Lt" w:hAnsi="NobelCE Lt"/>
          <w:bCs/>
          <w:sz w:val="24"/>
          <w:szCs w:val="24"/>
        </w:rPr>
        <w:t xml:space="preserve">jazdy </w:t>
      </w:r>
      <w:r w:rsidRPr="007372FC">
        <w:rPr>
          <w:rFonts w:ascii="NobelCE Lt" w:hAnsi="NobelCE Lt"/>
          <w:bCs/>
          <w:sz w:val="24"/>
          <w:szCs w:val="24"/>
        </w:rPr>
        <w:t>dziennej z charakterystycznym motywem litery „L”, który w LBX-</w:t>
      </w:r>
      <w:proofErr w:type="spellStart"/>
      <w:r w:rsidRPr="007372FC">
        <w:rPr>
          <w:rFonts w:ascii="NobelCE Lt" w:hAnsi="NobelCE Lt"/>
          <w:bCs/>
          <w:sz w:val="24"/>
          <w:szCs w:val="24"/>
        </w:rPr>
        <w:t>ie</w:t>
      </w:r>
      <w:proofErr w:type="spellEnd"/>
      <w:r w:rsidRPr="007372FC">
        <w:rPr>
          <w:rFonts w:ascii="NobelCE Lt" w:hAnsi="NobelCE Lt"/>
          <w:bCs/>
          <w:sz w:val="24"/>
          <w:szCs w:val="24"/>
        </w:rPr>
        <w:t xml:space="preserve"> został odwrócony i skierowany na zewnątrz. Ponadto innowacyjne podejście do koncepcji wersji wyposażenia, opierające się na tematycznych atmosferach, a także niemal nieograniczone możliwości personalizacji auta, pozwalają klientom stworzyć swój unikalny egzemplarz.</w:t>
      </w:r>
    </w:p>
    <w:sectPr w:rsidR="007372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F4C9" w14:textId="77777777" w:rsidR="00B80430" w:rsidRDefault="00B80430">
      <w:pPr>
        <w:spacing w:after="0" w:line="240" w:lineRule="auto"/>
      </w:pPr>
      <w:r>
        <w:separator/>
      </w:r>
    </w:p>
  </w:endnote>
  <w:endnote w:type="continuationSeparator" w:id="0">
    <w:p w14:paraId="5B1BEDC7" w14:textId="77777777" w:rsidR="00B80430" w:rsidRDefault="00B8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BCE5" w14:textId="77777777" w:rsidR="00B80430" w:rsidRDefault="00B80430">
      <w:pPr>
        <w:spacing w:after="0" w:line="240" w:lineRule="auto"/>
      </w:pPr>
      <w:r>
        <w:separator/>
      </w:r>
    </w:p>
  </w:footnote>
  <w:footnote w:type="continuationSeparator" w:id="0">
    <w:p w14:paraId="4B383A59" w14:textId="77777777" w:rsidR="00B80430" w:rsidRDefault="00B8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2EC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0A44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080B"/>
    <w:rsid w:val="00133001"/>
    <w:rsid w:val="00135D3E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17CA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05A2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03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27835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A635A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1715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372FC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34A9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19AE"/>
    <w:rsid w:val="00B6446C"/>
    <w:rsid w:val="00B645ED"/>
    <w:rsid w:val="00B65CC3"/>
    <w:rsid w:val="00B65CE4"/>
    <w:rsid w:val="00B660FD"/>
    <w:rsid w:val="00B673D1"/>
    <w:rsid w:val="00B734EC"/>
    <w:rsid w:val="00B751BB"/>
    <w:rsid w:val="00B80430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0783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0D54"/>
    <w:rsid w:val="00D7106F"/>
    <w:rsid w:val="00D74222"/>
    <w:rsid w:val="00D76373"/>
    <w:rsid w:val="00D77461"/>
    <w:rsid w:val="00D918B0"/>
    <w:rsid w:val="00D94175"/>
    <w:rsid w:val="00DB108F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5C1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442</Words>
  <Characters>2601</Characters>
  <Application>Microsoft Office Word</Application>
  <DocSecurity>0</DocSecurity>
  <Lines>72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2024-05-20T08:13:00Z</dcterms:created>
  <dcterms:modified xsi:type="dcterms:W3CDTF">2024-05-20T08:13:00Z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