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387749" w:rsidRPr="00CA3527" w:rsidRDefault="00387749" w:rsidP="00387749">
      <w:pPr>
        <w:shd w:val="clear" w:color="auto" w:fill="FFFFFF"/>
        <w:spacing w:after="0" w:line="240" w:lineRule="auto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</w:p>
    <w:p w:rsidR="0078580E" w:rsidRDefault="0078580E" w:rsidP="0078580E">
      <w:pPr>
        <w:shd w:val="clear" w:color="auto" w:fill="FFFFFF"/>
        <w:spacing w:after="0" w:line="240" w:lineRule="auto"/>
        <w:jc w:val="center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  <w:r w:rsidRPr="0078580E">
        <w:rPr>
          <w:rFonts w:eastAsia="Times New Roman" w:cs="Nobel-Book"/>
          <w:b/>
          <w:color w:val="000000"/>
          <w:sz w:val="24"/>
          <w:szCs w:val="24"/>
          <w:lang w:val="hu-HU" w:eastAsia="ja-JP"/>
        </w:rPr>
        <w:t>MÉG KIHEGYEZETTEBB, MÉG KIFINOMULTABB TELJESÍTMÉNY</w:t>
      </w:r>
      <w:r w:rsidR="0083177F">
        <w:rPr>
          <w:rFonts w:eastAsia="Times New Roman" w:cs="Nobel-Book"/>
          <w:b/>
          <w:color w:val="000000"/>
          <w:sz w:val="24"/>
          <w:szCs w:val="24"/>
          <w:lang w:val="hu-HU" w:eastAsia="ja-JP"/>
        </w:rPr>
        <w:t>T NYÚJT A LEXUS LC KUPÉ</w:t>
      </w:r>
      <w:bookmarkStart w:id="1" w:name="_GoBack"/>
      <w:bookmarkEnd w:id="1"/>
    </w:p>
    <w:p w:rsidR="0078580E" w:rsidRPr="0078580E" w:rsidRDefault="0078580E" w:rsidP="0078580E">
      <w:pPr>
        <w:shd w:val="clear" w:color="auto" w:fill="FFFFFF"/>
        <w:spacing w:after="0" w:line="240" w:lineRule="auto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8580E">
        <w:rPr>
          <w:rFonts w:ascii="Arial" w:hAnsi="Arial" w:cs="Arial"/>
          <w:b/>
          <w:lang w:val="hu-HU"/>
        </w:rPr>
        <w:t>Zászlóshajó-kupéjának első evolúciós lépéseként a Lexus tovább növeli az autó menetdinamikai teljesítményét</w:t>
      </w:r>
      <w:r w:rsidRPr="0078580E">
        <w:rPr>
          <w:rFonts w:ascii="Arial" w:hAnsi="Arial" w:cs="Arial"/>
          <w:b/>
          <w:lang w:val="hu-HU"/>
        </w:rPr>
        <w:t>: a</w:t>
      </w:r>
      <w:r w:rsidRPr="0078580E">
        <w:rPr>
          <w:rFonts w:ascii="Arial" w:hAnsi="Arial" w:cs="Arial"/>
          <w:b/>
          <w:lang w:val="hu-HU"/>
        </w:rPr>
        <w:t xml:space="preserve"> lényeg a vezető és az autó kapcsolatának erősítése</w:t>
      </w:r>
      <w:r w:rsidRPr="0078580E">
        <w:rPr>
          <w:rFonts w:ascii="Arial" w:hAnsi="Arial" w:cs="Arial"/>
          <w:b/>
          <w:lang w:val="hu-HU"/>
        </w:rPr>
        <w:t xml:space="preserve">. </w:t>
      </w:r>
      <w:r w:rsidRPr="0078580E">
        <w:rPr>
          <w:rFonts w:ascii="Arial" w:hAnsi="Arial" w:cs="Arial"/>
          <w:b/>
          <w:lang w:val="hu-HU"/>
        </w:rPr>
        <w:t>A futómű apró tökéletesítései csökkentik a szerkezet tömegét, javítják a sima futást és a menetstabilitást</w:t>
      </w:r>
      <w:r w:rsidRPr="0078580E">
        <w:rPr>
          <w:rFonts w:ascii="Arial" w:hAnsi="Arial" w:cs="Arial"/>
          <w:b/>
          <w:lang w:val="hu-HU"/>
        </w:rPr>
        <w:t>, míg a</w:t>
      </w:r>
      <w:r w:rsidRPr="0078580E">
        <w:rPr>
          <w:rFonts w:ascii="Arial" w:hAnsi="Arial" w:cs="Arial"/>
          <w:b/>
          <w:lang w:val="hu-HU"/>
        </w:rPr>
        <w:t>z LC 500h akkumulátorvezérlő rendszerének áttervezésé</w:t>
      </w:r>
      <w:r w:rsidRPr="0078580E">
        <w:rPr>
          <w:rFonts w:ascii="Arial" w:hAnsi="Arial" w:cs="Arial"/>
          <w:b/>
          <w:lang w:val="hu-HU"/>
        </w:rPr>
        <w:t>nek köszönhetően</w:t>
      </w:r>
      <w:r w:rsidRPr="0078580E">
        <w:rPr>
          <w:rFonts w:ascii="Arial" w:hAnsi="Arial" w:cs="Arial"/>
          <w:b/>
          <w:lang w:val="hu-HU"/>
        </w:rPr>
        <w:t xml:space="preserve"> kis sebességnél is nagyobb teljesítmény és forgatónyomaték áll rendelkezésre</w:t>
      </w:r>
      <w:r w:rsidRPr="0078580E">
        <w:rPr>
          <w:rFonts w:ascii="Arial" w:hAnsi="Arial" w:cs="Arial"/>
          <w:b/>
          <w:lang w:val="hu-HU"/>
        </w:rPr>
        <w:t xml:space="preserve">. </w:t>
      </w:r>
      <w:r w:rsidRPr="0078580E">
        <w:rPr>
          <w:rFonts w:ascii="Arial" w:hAnsi="Arial" w:cs="Arial"/>
          <w:b/>
          <w:lang w:val="hu-HU"/>
        </w:rPr>
        <w:t xml:space="preserve">Az LC 500 tízfokozatú </w:t>
      </w:r>
      <w:proofErr w:type="spellStart"/>
      <w:r w:rsidRPr="0078580E">
        <w:rPr>
          <w:rFonts w:ascii="Arial" w:hAnsi="Arial" w:cs="Arial"/>
          <w:b/>
          <w:lang w:val="hu-HU"/>
        </w:rPr>
        <w:t>Direct</w:t>
      </w:r>
      <w:proofErr w:type="spellEnd"/>
      <w:r w:rsidRPr="0078580E">
        <w:rPr>
          <w:rFonts w:ascii="Arial" w:hAnsi="Arial" w:cs="Arial"/>
          <w:b/>
          <w:lang w:val="hu-HU"/>
        </w:rPr>
        <w:t xml:space="preserve"> Shift automata sebességváltóját </w:t>
      </w:r>
      <w:r w:rsidRPr="0078580E">
        <w:rPr>
          <w:rFonts w:ascii="Arial" w:hAnsi="Arial" w:cs="Arial"/>
          <w:b/>
          <w:lang w:val="hu-HU"/>
        </w:rPr>
        <w:t xml:space="preserve">is </w:t>
      </w:r>
      <w:r w:rsidRPr="0078580E">
        <w:rPr>
          <w:rFonts w:ascii="Arial" w:hAnsi="Arial" w:cs="Arial"/>
          <w:b/>
          <w:lang w:val="hu-HU"/>
        </w:rPr>
        <w:t>átprogramozták, hogy élvezetesebb vezetési élményt nyújtson</w:t>
      </w:r>
      <w:r w:rsidRPr="0078580E">
        <w:rPr>
          <w:rFonts w:ascii="Arial" w:hAnsi="Arial" w:cs="Arial"/>
          <w:b/>
          <w:lang w:val="hu-HU"/>
        </w:rPr>
        <w:t>, a</w:t>
      </w:r>
      <w:r w:rsidRPr="0078580E">
        <w:rPr>
          <w:rFonts w:ascii="Arial" w:hAnsi="Arial" w:cs="Arial"/>
          <w:b/>
          <w:lang w:val="hu-HU"/>
        </w:rPr>
        <w:t xml:space="preserve"> fék- és kormányrendszer finomításai </w:t>
      </w:r>
      <w:r w:rsidRPr="0078580E">
        <w:rPr>
          <w:rFonts w:ascii="Arial" w:hAnsi="Arial" w:cs="Arial"/>
          <w:b/>
          <w:lang w:val="hu-HU"/>
        </w:rPr>
        <w:t xml:space="preserve">pedig még </w:t>
      </w:r>
      <w:proofErr w:type="spellStart"/>
      <w:r w:rsidRPr="0078580E">
        <w:rPr>
          <w:rFonts w:ascii="Arial" w:hAnsi="Arial" w:cs="Arial"/>
          <w:b/>
          <w:lang w:val="hu-HU"/>
        </w:rPr>
        <w:t>jobb</w:t>
      </w:r>
      <w:proofErr w:type="spellEnd"/>
      <w:r w:rsidRPr="0078580E">
        <w:rPr>
          <w:rFonts w:ascii="Arial" w:hAnsi="Arial" w:cs="Arial"/>
          <w:b/>
          <w:lang w:val="hu-HU"/>
        </w:rPr>
        <w:t xml:space="preserve"> érzetet és reakciókat biztosítanak</w:t>
      </w:r>
      <w:r w:rsidRPr="0078580E">
        <w:rPr>
          <w:rFonts w:ascii="Arial" w:hAnsi="Arial" w:cs="Arial"/>
          <w:b/>
          <w:lang w:val="hu-HU"/>
        </w:rPr>
        <w:t>.</w:t>
      </w: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8580E">
        <w:rPr>
          <w:rFonts w:ascii="Arial" w:hAnsi="Arial" w:cs="Arial"/>
          <w:lang w:val="hu-HU"/>
        </w:rPr>
        <w:t xml:space="preserve">A Lexus zászlóshajó kupéjának </w:t>
      </w:r>
      <w:proofErr w:type="spellStart"/>
      <w:r w:rsidRPr="0078580E">
        <w:rPr>
          <w:rFonts w:ascii="Arial" w:hAnsi="Arial" w:cs="Arial"/>
          <w:lang w:val="hu-HU"/>
        </w:rPr>
        <w:t>jelszava</w:t>
      </w:r>
      <w:proofErr w:type="spellEnd"/>
      <w:r w:rsidRPr="0078580E">
        <w:rPr>
          <w:rFonts w:ascii="Arial" w:hAnsi="Arial" w:cs="Arial"/>
          <w:lang w:val="hu-HU"/>
        </w:rPr>
        <w:t xml:space="preserve"> mindig is a “még </w:t>
      </w:r>
      <w:proofErr w:type="spellStart"/>
      <w:r w:rsidRPr="0078580E">
        <w:rPr>
          <w:rFonts w:ascii="Arial" w:hAnsi="Arial" w:cs="Arial"/>
          <w:lang w:val="hu-HU"/>
        </w:rPr>
        <w:t>kihegyezettebb</w:t>
      </w:r>
      <w:proofErr w:type="spellEnd"/>
      <w:r w:rsidRPr="0078580E">
        <w:rPr>
          <w:rFonts w:ascii="Arial" w:hAnsi="Arial" w:cs="Arial"/>
          <w:lang w:val="hu-HU"/>
        </w:rPr>
        <w:t>, még kifinomultabb” teljesítmény volt – már a tanulmányautó megalkotásának pillanatában is. A 2021-es modellévben bevezetett változásoknak köszönhetően most tovább javulnak az LC reakciói, menetstabilitása és irányíthatósága, hogy a vezető még közvetlenebb kapcsolatot érezhessen az autóval.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 xml:space="preserve">Ennek érdekében a Lexus átalakította az LC futóművét, lefaragva ezzel a szerkezet tömegéből, ugyanakkor javítva a rugózást. A mérnökök az LC 500h változat Multi </w:t>
      </w:r>
      <w:proofErr w:type="spellStart"/>
      <w:r w:rsidRPr="0078580E">
        <w:rPr>
          <w:rFonts w:ascii="Arial" w:hAnsi="Arial" w:cs="Arial"/>
          <w:lang w:val="hu-HU"/>
        </w:rPr>
        <w:t>Stage</w:t>
      </w:r>
      <w:proofErr w:type="spellEnd"/>
      <w:r w:rsidRPr="0078580E">
        <w:rPr>
          <w:rFonts w:ascii="Arial" w:hAnsi="Arial" w:cs="Arial"/>
          <w:lang w:val="hu-HU"/>
        </w:rPr>
        <w:t xml:space="preserve"> </w:t>
      </w:r>
      <w:proofErr w:type="spellStart"/>
      <w:r w:rsidRPr="0078580E">
        <w:rPr>
          <w:rFonts w:ascii="Arial" w:hAnsi="Arial" w:cs="Arial"/>
          <w:lang w:val="hu-HU"/>
        </w:rPr>
        <w:t>Hybrid</w:t>
      </w:r>
      <w:proofErr w:type="spellEnd"/>
      <w:r w:rsidRPr="0078580E">
        <w:rPr>
          <w:rFonts w:ascii="Arial" w:hAnsi="Arial" w:cs="Arial"/>
          <w:lang w:val="hu-HU"/>
        </w:rPr>
        <w:t xml:space="preserve"> rendszerét is tovább finomították, akárcsak az LC 500 tízfokozatú </w:t>
      </w:r>
      <w:proofErr w:type="spellStart"/>
      <w:r w:rsidRPr="0078580E">
        <w:rPr>
          <w:rFonts w:ascii="Arial" w:hAnsi="Arial" w:cs="Arial"/>
          <w:lang w:val="hu-HU"/>
        </w:rPr>
        <w:t>Direct</w:t>
      </w:r>
      <w:proofErr w:type="spellEnd"/>
      <w:r w:rsidRPr="0078580E">
        <w:rPr>
          <w:rFonts w:ascii="Arial" w:hAnsi="Arial" w:cs="Arial"/>
          <w:lang w:val="hu-HU"/>
        </w:rPr>
        <w:t xml:space="preserve"> Shift automata váltóját. A kupé kormányművét is tökéletesítették, a fékeket pedig </w:t>
      </w:r>
      <w:proofErr w:type="spellStart"/>
      <w:r w:rsidRPr="0078580E">
        <w:rPr>
          <w:rFonts w:ascii="Arial" w:hAnsi="Arial" w:cs="Arial"/>
          <w:lang w:val="hu-HU"/>
        </w:rPr>
        <w:t>finomhangolták</w:t>
      </w:r>
      <w:proofErr w:type="spellEnd"/>
      <w:r w:rsidRPr="0078580E">
        <w:rPr>
          <w:rFonts w:ascii="Arial" w:hAnsi="Arial" w:cs="Arial"/>
          <w:lang w:val="hu-HU"/>
        </w:rPr>
        <w:t>, hogy jobb visszajelzéseket adjanak a vezetőnek.</w:t>
      </w: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8580E">
        <w:rPr>
          <w:rFonts w:ascii="Arial" w:hAnsi="Arial" w:cs="Arial"/>
          <w:b/>
          <w:lang w:val="hu-HU"/>
        </w:rPr>
        <w:t>Tökéletesített futómű: kisebb tömeg, simább futás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8580E">
        <w:rPr>
          <w:rFonts w:ascii="Arial" w:hAnsi="Arial" w:cs="Arial"/>
          <w:lang w:val="hu-HU"/>
        </w:rPr>
        <w:t xml:space="preserve">Az LC első és hátsó futóművén végrehajtott változtatások körülbelül 10 kilogrammal csökkentik a </w:t>
      </w:r>
      <w:proofErr w:type="spellStart"/>
      <w:r w:rsidRPr="0078580E">
        <w:rPr>
          <w:rFonts w:ascii="Arial" w:hAnsi="Arial" w:cs="Arial"/>
          <w:lang w:val="hu-HU"/>
        </w:rPr>
        <w:t>rugózatlan</w:t>
      </w:r>
      <w:proofErr w:type="spellEnd"/>
      <w:r w:rsidRPr="0078580E">
        <w:rPr>
          <w:rFonts w:ascii="Arial" w:hAnsi="Arial" w:cs="Arial"/>
          <w:lang w:val="hu-HU"/>
        </w:rPr>
        <w:t xml:space="preserve"> tömeget. Ez elsősorban a kovácsolt alumínium alsó lengőkaroknak, a vékonyabb, üreges kanyarstabilizátoroknak és a tekercsrugók új, nagy szilárdságú anyagának köszönhető. Maguk a rugók is erősebbek lettel (nyomásértékük 1200 helyett 1300 </w:t>
      </w:r>
      <w:proofErr w:type="spellStart"/>
      <w:r w:rsidRPr="0078580E">
        <w:rPr>
          <w:rFonts w:ascii="Arial" w:hAnsi="Arial" w:cs="Arial"/>
          <w:lang w:val="hu-HU"/>
        </w:rPr>
        <w:t>MPa</w:t>
      </w:r>
      <w:proofErr w:type="spellEnd"/>
      <w:r w:rsidRPr="0078580E">
        <w:rPr>
          <w:rFonts w:ascii="Arial" w:hAnsi="Arial" w:cs="Arial"/>
          <w:lang w:val="hu-HU"/>
        </w:rPr>
        <w:t>).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>A tömegcsökkentés javítja a kupé menetdinamikai teljesítményét, a futómű egyéb tökéletesítései pedig a lágyabbá, simábbá teszik a mozgásokat, miközben a vezető továbbra is úgy érzi, hogy autója stabilan tapad az útfelülethez. Az első futómű elektronikus vezérlésű lengéscsillapítóit átprogramozták, hogy hosszabb úton mozogjanak, a felütésgátlók merevségét pedig (elöl és hátul egyaránt) optimalizálták, hogy kevésbé adja át az útegyenetlenségek okozta rázkódásokat.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 xml:space="preserve">A </w:t>
      </w:r>
      <w:r w:rsidRPr="0078580E">
        <w:rPr>
          <w:rFonts w:ascii="Arial" w:hAnsi="Arial" w:cs="Arial"/>
          <w:lang w:val="hu-HU"/>
        </w:rPr>
        <w:lastRenderedPageBreak/>
        <w:t>kanyarstabilizátorok merevségének megváltoztatásával a Lexus tovább javította az LC ívmeneti irányíthatóságát, még harmonikusabb egységet teremtve az autó és a vezető között.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8580E">
        <w:rPr>
          <w:rFonts w:ascii="Arial" w:hAnsi="Arial" w:cs="Arial"/>
          <w:b/>
          <w:lang w:val="hu-HU"/>
        </w:rPr>
        <w:t>Áthangolt sebességváltó az élvezetesebb vezethetőségért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8580E">
        <w:rPr>
          <w:rFonts w:ascii="Arial" w:hAnsi="Arial" w:cs="Arial"/>
          <w:lang w:val="hu-HU"/>
        </w:rPr>
        <w:t>A Lexus ‘</w:t>
      </w:r>
      <w:proofErr w:type="spellStart"/>
      <w:r w:rsidRPr="0078580E">
        <w:rPr>
          <w:rFonts w:ascii="Arial" w:hAnsi="Arial" w:cs="Arial"/>
          <w:lang w:val="hu-HU"/>
        </w:rPr>
        <w:t>big</w:t>
      </w:r>
      <w:proofErr w:type="spellEnd"/>
      <w:r w:rsidRPr="0078580E">
        <w:rPr>
          <w:rFonts w:ascii="Arial" w:hAnsi="Arial" w:cs="Arial"/>
          <w:lang w:val="hu-HU"/>
        </w:rPr>
        <w:t xml:space="preserve"> </w:t>
      </w:r>
      <w:proofErr w:type="spellStart"/>
      <w:r w:rsidRPr="0078580E">
        <w:rPr>
          <w:rFonts w:ascii="Arial" w:hAnsi="Arial" w:cs="Arial"/>
          <w:lang w:val="hu-HU"/>
        </w:rPr>
        <w:t>data</w:t>
      </w:r>
      <w:proofErr w:type="spellEnd"/>
      <w:r w:rsidRPr="0078580E">
        <w:rPr>
          <w:rFonts w:ascii="Arial" w:hAnsi="Arial" w:cs="Arial"/>
          <w:lang w:val="hu-HU"/>
        </w:rPr>
        <w:t xml:space="preserve">’ adatelemzés révén tökéletesítette az LC 500 tízfokozatú </w:t>
      </w:r>
      <w:proofErr w:type="spellStart"/>
      <w:r w:rsidRPr="0078580E">
        <w:rPr>
          <w:rFonts w:ascii="Arial" w:hAnsi="Arial" w:cs="Arial"/>
          <w:lang w:val="hu-HU"/>
        </w:rPr>
        <w:t>Direct</w:t>
      </w:r>
      <w:proofErr w:type="spellEnd"/>
      <w:r w:rsidRPr="0078580E">
        <w:rPr>
          <w:rFonts w:ascii="Arial" w:hAnsi="Arial" w:cs="Arial"/>
          <w:lang w:val="hu-HU"/>
        </w:rPr>
        <w:t xml:space="preserve"> Shift automata sebességváltójának vonóerő-karakterisztikáját, hogy a jármű még kezesebben reagáljon a vezető parancsaira. Ha a vonóerő a motor fordulatszámának emelkedésével együtt növekszik, akkor a vezető is jobban kiélvezheti a tekintélyes forgatónyomaték és a zökkenőmentes gyorsítás élményét.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 xml:space="preserve">A mérnökök az “aktív zónára” összpontosítottak, vagyis arra az 50-70 százalék közötti gázadás-tartományra, amelyben a sebességváltó lehetővé teszi, hogy a motor </w:t>
      </w:r>
      <w:proofErr w:type="spellStart"/>
      <w:r w:rsidRPr="0078580E">
        <w:rPr>
          <w:rFonts w:ascii="Arial" w:hAnsi="Arial" w:cs="Arial"/>
          <w:lang w:val="hu-HU"/>
        </w:rPr>
        <w:t>felpörögjön</w:t>
      </w:r>
      <w:proofErr w:type="spellEnd"/>
      <w:r w:rsidRPr="0078580E">
        <w:rPr>
          <w:rFonts w:ascii="Arial" w:hAnsi="Arial" w:cs="Arial"/>
          <w:lang w:val="hu-HU"/>
        </w:rPr>
        <w:t xml:space="preserve"> a következő fokozat kapcsolása előtt. Ennek hatása nemcsak a menetdinamikában érezhető, hanem a V8-as motor hangját is gyakrabban élvezhetik a vezetők.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>Az igazán lényeges eredmény természetesen a simább gyorsítás, és az, hogy a váltómű immár nem a harmadik, hanem a második fokozatba kapcsol vissza, amikor a vezető fékez egy kanyar előtt. Ezzel párhuzamosan a kanyarból is dinamikusabban gyorsít ki az autó.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8580E">
        <w:rPr>
          <w:rFonts w:ascii="Arial" w:hAnsi="Arial" w:cs="Arial"/>
          <w:b/>
          <w:lang w:val="hu-HU"/>
        </w:rPr>
        <w:t>Még jobb teljesítményű hibrid akkumulátor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8580E">
        <w:rPr>
          <w:rFonts w:ascii="Arial" w:hAnsi="Arial" w:cs="Arial"/>
          <w:lang w:val="hu-HU"/>
        </w:rPr>
        <w:t>Az LC 500h nagy feszültségű lítium-ion hibrid akkumulátora új vezérlést kapott, így javult a működési tartománya, az elektromotor pedig nagyobb forgatónyomatékot adhat le. Ez még lendületesebb gyorsítást kínál, ami ugyanúgy jól jöhet a nagyvárosi forgalomban, mint a kanyargós szerpentineken; a gyakorlatban ez annyit jelent, hogy még a gázpedál enyhe (30 százalékos) lenyomásával is 90 Nm-</w:t>
      </w:r>
      <w:proofErr w:type="spellStart"/>
      <w:r w:rsidRPr="0078580E">
        <w:rPr>
          <w:rFonts w:ascii="Arial" w:hAnsi="Arial" w:cs="Arial"/>
          <w:lang w:val="hu-HU"/>
        </w:rPr>
        <w:t>rel</w:t>
      </w:r>
      <w:proofErr w:type="spellEnd"/>
      <w:r w:rsidRPr="0078580E">
        <w:rPr>
          <w:rFonts w:ascii="Arial" w:hAnsi="Arial" w:cs="Arial"/>
          <w:lang w:val="hu-HU"/>
        </w:rPr>
        <w:t xml:space="preserve"> több forgatónyomaték áll a vezető rendelkezésére.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8580E">
        <w:rPr>
          <w:rFonts w:ascii="Arial" w:hAnsi="Arial" w:cs="Arial"/>
          <w:b/>
          <w:lang w:val="hu-HU"/>
        </w:rPr>
        <w:t>Fékezés és kormányzás</w:t>
      </w:r>
    </w:p>
    <w:p w:rsid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8580E">
        <w:rPr>
          <w:rFonts w:ascii="Arial" w:hAnsi="Arial" w:cs="Arial"/>
          <w:lang w:val="hu-HU"/>
        </w:rPr>
        <w:t xml:space="preserve">A Lexus magasabb súrlódási együtthatójú, nagyobb méretű fékbetéteket szerel az LC kupéba, hogy az autó magasabb hőmérséklet és sebesség mellett is hatékony fékteljesítményt nyújtson. A rendszer továbbra is hűtött első-hátsó tárcsafékeket tartalmaz, valamint hatdugattyús, alumínium </w:t>
      </w:r>
      <w:proofErr w:type="spellStart"/>
      <w:r w:rsidRPr="0078580E">
        <w:rPr>
          <w:rFonts w:ascii="Arial" w:hAnsi="Arial" w:cs="Arial"/>
          <w:lang w:val="hu-HU"/>
        </w:rPr>
        <w:t>monoblokk</w:t>
      </w:r>
      <w:proofErr w:type="spellEnd"/>
      <w:r w:rsidRPr="0078580E">
        <w:rPr>
          <w:rFonts w:ascii="Arial" w:hAnsi="Arial" w:cs="Arial"/>
          <w:lang w:val="hu-HU"/>
        </w:rPr>
        <w:t xml:space="preserve"> szerkezetű első és négydugattyús hátsó féknyergeket. A fekete féknyergeken fehéren virít a Lexus emblémája.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>A mérnökök gondos munkáját jelzi, hogy még a fékpedál felületét is tovább tökéletesítették, hogy nagyobb területen érintkezzen a cipőtalppal, ami természetesebb pedálérzetet eredményez.</w:t>
      </w:r>
      <w:r>
        <w:rPr>
          <w:rFonts w:ascii="Arial" w:hAnsi="Arial" w:cs="Arial"/>
          <w:lang w:val="hu-HU"/>
        </w:rPr>
        <w:t xml:space="preserve"> </w:t>
      </w:r>
      <w:r w:rsidRPr="0078580E">
        <w:rPr>
          <w:rFonts w:ascii="Arial" w:hAnsi="Arial" w:cs="Arial"/>
          <w:lang w:val="hu-HU"/>
        </w:rPr>
        <w:t xml:space="preserve">A kormánymű merevségét extra erősítések és rögzítési pontok javítják. A mérnökök megerősítették a műszerfalpanelt, illetve megváltoztatták a vezetőülés és motorburkolat merevítéseit is. A változó áttételű kormánymű, a dinamikus </w:t>
      </w:r>
      <w:r w:rsidRPr="0078580E">
        <w:rPr>
          <w:rFonts w:ascii="Arial" w:hAnsi="Arial" w:cs="Arial"/>
          <w:lang w:val="hu-HU"/>
        </w:rPr>
        <w:lastRenderedPageBreak/>
        <w:t>hátsókerékkormányzás, valamint az elektromos szervokormány szoftverfrissítései tovább javítják az autó reakcióit.</w:t>
      </w: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8580E">
        <w:rPr>
          <w:rFonts w:ascii="Arial" w:hAnsi="Arial" w:cs="Arial"/>
          <w:b/>
          <w:lang w:val="hu-HU"/>
        </w:rPr>
        <w:t xml:space="preserve">V8 </w:t>
      </w:r>
      <w:r w:rsidRPr="0078580E">
        <w:rPr>
          <w:rFonts w:ascii="Arial" w:hAnsi="Arial" w:cs="Arial"/>
          <w:b/>
          <w:lang w:val="hu-HU"/>
        </w:rPr>
        <w:t>hangminőség</w:t>
      </w:r>
    </w:p>
    <w:p w:rsidR="0078580E" w:rsidRPr="0078580E" w:rsidRDefault="0078580E" w:rsidP="0078580E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8580E">
        <w:rPr>
          <w:rFonts w:ascii="Arial" w:hAnsi="Arial" w:cs="Arial"/>
          <w:lang w:val="hu-HU"/>
        </w:rPr>
        <w:t>A V8-as blokk motorhangja fontos tényező az LC 500 vezetési élményében. Az ideális hangzás érdekében a Lexus máshová helyezte a szelepet, ami meghatározza, milyen úton áramlik a kipufogógáz a hangtompító dobban. A motor így a beindítás pillanatában is gyönyörűen szól, ahogy a magasabb fordulatszám-tartományban is (4000 1/perc fordulat környékén), egyenletes suhanás közben pedig csendesen adja le teljesítményét.</w:t>
      </w:r>
    </w:p>
    <w:p w:rsidR="002339EC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2339EC" w:rsidRPr="00AC4784" w:rsidRDefault="002339EC" w:rsidP="00AC4784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226EBB" w:rsidRPr="00387749" w:rsidRDefault="00226EBB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60" w:rsidRDefault="00566260" w:rsidP="00566E8D">
      <w:pPr>
        <w:spacing w:after="0" w:line="240" w:lineRule="auto"/>
      </w:pPr>
      <w:r>
        <w:separator/>
      </w:r>
    </w:p>
  </w:endnote>
  <w:endnote w:type="continuationSeparator" w:id="0">
    <w:p w:rsidR="00566260" w:rsidRDefault="0056626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60" w:rsidRDefault="00566260" w:rsidP="00566E8D">
      <w:pPr>
        <w:spacing w:after="0" w:line="240" w:lineRule="auto"/>
      </w:pPr>
      <w:r>
        <w:separator/>
      </w:r>
    </w:p>
  </w:footnote>
  <w:footnote w:type="continuationSeparator" w:id="0">
    <w:p w:rsidR="00566260" w:rsidRDefault="0056626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B3226"/>
    <w:multiLevelType w:val="hybridMultilevel"/>
    <w:tmpl w:val="0C96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29"/>
  </w:num>
  <w:num w:numId="5">
    <w:abstractNumId w:val="15"/>
  </w:num>
  <w:num w:numId="6">
    <w:abstractNumId w:val="13"/>
  </w:num>
  <w:num w:numId="7">
    <w:abstractNumId w:val="18"/>
  </w:num>
  <w:num w:numId="8">
    <w:abstractNumId w:val="23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7"/>
  </w:num>
  <w:num w:numId="14">
    <w:abstractNumId w:val="26"/>
  </w:num>
  <w:num w:numId="15">
    <w:abstractNumId w:val="25"/>
  </w:num>
  <w:num w:numId="16">
    <w:abstractNumId w:val="12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28"/>
  </w:num>
  <w:num w:numId="22">
    <w:abstractNumId w:val="20"/>
  </w:num>
  <w:num w:numId="23">
    <w:abstractNumId w:val="11"/>
  </w:num>
  <w:num w:numId="24">
    <w:abstractNumId w:val="0"/>
  </w:num>
  <w:num w:numId="25">
    <w:abstractNumId w:val="16"/>
  </w:num>
  <w:num w:numId="26">
    <w:abstractNumId w:val="6"/>
  </w:num>
  <w:num w:numId="27">
    <w:abstractNumId w:val="1"/>
  </w:num>
  <w:num w:numId="28">
    <w:abstractNumId w:val="24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6EBB"/>
    <w:rsid w:val="00227FD9"/>
    <w:rsid w:val="00232103"/>
    <w:rsid w:val="00232557"/>
    <w:rsid w:val="00232739"/>
    <w:rsid w:val="002339EC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87749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470C3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1B7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33460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260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6435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80E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77F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1FE9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4784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532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4627-3F30-48E7-8521-DF42814D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2020-06-26T05:57:00Z</dcterms:created>
  <dcterms:modified xsi:type="dcterms:W3CDTF">2020-06-26T06:02:00Z</dcterms:modified>
</cp:coreProperties>
</file>