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42013" w:rsidRDefault="001D4C06" w:rsidP="00842013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 VILÁG LEGFEJLETTEBB HIBRID ELEKTROMOS HAJTÁSÁVAL ÉRKEZIK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VADONATÚJ LEXUS UX</w:t>
      </w:r>
    </w:p>
    <w:p w:rsidR="00842013" w:rsidRPr="00842013" w:rsidRDefault="00842013" w:rsidP="00842013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5E24F2" w:rsidRPr="007B14F7" w:rsidRDefault="007B14F7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7B14F7">
        <w:rPr>
          <w:rFonts w:ascii="Arial" w:eastAsiaTheme="minorHAnsi" w:hAnsi="Arial" w:cs="Arial"/>
          <w:b/>
          <w:sz w:val="22"/>
          <w:szCs w:val="22"/>
          <w:lang w:val="hu-HU"/>
        </w:rPr>
        <w:t>Az immáron a hazai márkakereskedésekbe is megérkezett</w:t>
      </w:r>
      <w:r w:rsidR="005E24F2" w:rsidRPr="007B14F7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7B14F7">
        <w:rPr>
          <w:rFonts w:ascii="Arial" w:eastAsiaTheme="minorHAnsi" w:hAnsi="Arial" w:cs="Arial"/>
          <w:b/>
          <w:sz w:val="22"/>
          <w:szCs w:val="22"/>
          <w:lang w:val="hu-HU"/>
        </w:rPr>
        <w:t xml:space="preserve">sikergyanús Lexus </w:t>
      </w:r>
      <w:r w:rsidR="005E24F2" w:rsidRPr="007B14F7">
        <w:rPr>
          <w:rFonts w:ascii="Arial" w:eastAsiaTheme="minorHAnsi" w:hAnsi="Arial" w:cs="Arial"/>
          <w:b/>
          <w:sz w:val="22"/>
          <w:szCs w:val="22"/>
          <w:lang w:val="hu-HU"/>
        </w:rPr>
        <w:t xml:space="preserve">UX 250h a legújabb, negyedik </w:t>
      </w:r>
      <w:proofErr w:type="gramStart"/>
      <w:r w:rsidR="005E24F2" w:rsidRPr="007B14F7">
        <w:rPr>
          <w:rFonts w:ascii="Arial" w:eastAsiaTheme="minorHAnsi" w:hAnsi="Arial" w:cs="Arial"/>
          <w:b/>
          <w:sz w:val="22"/>
          <w:szCs w:val="22"/>
          <w:lang w:val="hu-HU"/>
        </w:rPr>
        <w:t>generációs</w:t>
      </w:r>
      <w:proofErr w:type="gramEnd"/>
      <w:r w:rsidR="005E24F2" w:rsidRPr="007B14F7">
        <w:rPr>
          <w:rFonts w:ascii="Arial" w:eastAsiaTheme="minorHAnsi" w:hAnsi="Arial" w:cs="Arial"/>
          <w:b/>
          <w:sz w:val="22"/>
          <w:szCs w:val="22"/>
          <w:lang w:val="hu-HU"/>
        </w:rPr>
        <w:t xml:space="preserve"> öntöltő hibrid hajtáslánccal készül, amely egy vadonatúj, 2,0 literes benzinmotorból, egy új hibrid váltóműből, egy új, kompakt méretű akkumulátorból és egy új t</w:t>
      </w:r>
      <w:r w:rsidRPr="007B14F7">
        <w:rPr>
          <w:rFonts w:ascii="Arial" w:eastAsiaTheme="minorHAnsi" w:hAnsi="Arial" w:cs="Arial"/>
          <w:b/>
          <w:sz w:val="22"/>
          <w:szCs w:val="22"/>
          <w:lang w:val="hu-HU"/>
        </w:rPr>
        <w:t>eljesítményvezérlő egységből áll, és várhatóan sokak örömére elérhető E-</w:t>
      </w:r>
      <w:proofErr w:type="spellStart"/>
      <w:r w:rsidRPr="007B14F7">
        <w:rPr>
          <w:rFonts w:ascii="Arial" w:eastAsiaTheme="minorHAnsi" w:hAnsi="Arial" w:cs="Arial"/>
          <w:b/>
          <w:sz w:val="22"/>
          <w:szCs w:val="22"/>
          <w:lang w:val="hu-HU"/>
        </w:rPr>
        <w:t>Four</w:t>
      </w:r>
      <w:proofErr w:type="spellEnd"/>
      <w:r w:rsidRPr="007B14F7">
        <w:rPr>
          <w:rFonts w:ascii="Arial" w:eastAsiaTheme="minorHAnsi" w:hAnsi="Arial" w:cs="Arial"/>
          <w:b/>
          <w:sz w:val="22"/>
          <w:szCs w:val="22"/>
          <w:lang w:val="hu-HU"/>
        </w:rPr>
        <w:t xml:space="preserve"> összkerékhajtással is.</w:t>
      </w:r>
    </w:p>
    <w:p w:rsidR="007B14F7" w:rsidRPr="001D4C06" w:rsidRDefault="007B14F7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E24F2" w:rsidRPr="001D4C06" w:rsidRDefault="007B14F7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</w:t>
      </w:r>
      <w:r w:rsidR="0097390B">
        <w:rPr>
          <w:rFonts w:ascii="Arial" w:eastAsiaTheme="minorHAnsi" w:hAnsi="Arial" w:cs="Arial"/>
          <w:sz w:val="22"/>
          <w:szCs w:val="22"/>
          <w:lang w:val="hu-HU"/>
        </w:rPr>
        <w:t xml:space="preserve"> vadonatúj Lexus </w:t>
      </w:r>
      <w:r w:rsidR="0097390B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UX 250h </w:t>
      </w:r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184 LE (azaz 135 kW) rendszerteljesítményével egyesíti </w:t>
      </w:r>
      <w:r w:rsidR="0097390B">
        <w:rPr>
          <w:rFonts w:ascii="Arial" w:eastAsiaTheme="minorHAnsi" w:hAnsi="Arial" w:cs="Arial"/>
          <w:sz w:val="22"/>
          <w:szCs w:val="22"/>
          <w:lang w:val="hu-HU"/>
        </w:rPr>
        <w:t>a</w:t>
      </w:r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hatékony üzemanyag-felhasználást a rendkívül kifinomult, közvetlen vezetési élménnyel. Az UX új 2,0 literes, soros négyhengeres benzinmotorja a </w:t>
      </w:r>
      <w:proofErr w:type="gram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kategória</w:t>
      </w:r>
      <w:proofErr w:type="gram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legmagasabb, 41 százalékos termikus hatásfokú erőforrása (különleges, lézerrel edzett szívóoldali </w:t>
      </w:r>
      <w:proofErr w:type="spell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szelepülékekkel</w:t>
      </w:r>
      <w:proofErr w:type="spell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, és új tervezésű szívócsővel). Köszönhető ez a motor magas </w:t>
      </w:r>
      <w:proofErr w:type="gram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kompressziójának</w:t>
      </w:r>
      <w:proofErr w:type="gram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(14,0:1), valamint közvetlen- és közvetett befecskendezést kombináló D4-S befecskendező rendszerének, szívó- és kipufogóoldalon is változó, (a szívóoldalon elektromos szabályozású) intelligens szelepvezérlésének (VVT-</w:t>
      </w:r>
      <w:proofErr w:type="spell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iE</w:t>
      </w:r>
      <w:proofErr w:type="spell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).</w:t>
      </w:r>
      <w:r w:rsidR="0097390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A veszteségeket hatásosan csökkentő motorolaj-szivattyú és az elektromos vízpumpával dolgozó hűtőrendszer segítségével még jobban kihasználható a motor teljesítménye és hatékonysága. Télen, a hideg napokon ez a rendszer gyorsabban bemelegíti az utasteret. A benzinmotor gyors felmelegedését kipufogógáz-visszavezetés is segíti, ami egyúttal alacsonyabb károsanyag-kibocsátást is jelent. A nagy hatékonyságú szilárdrészecske-szűrőnek köszönhetően az erőforrás megfelel a szigorú Euro 6d PN előírásainak is.</w:t>
      </w:r>
      <w:r w:rsidR="0097390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Az UX </w:t>
      </w:r>
      <w:proofErr w:type="gram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új generációs hajtásláncát a benzinmotor mellett két, generátorként is működő elektromotor alkotja, szerkezete kompaktabb, működése pedig hatékonyabb, mint a Lexus korábbi hibrid rendszeréé. A központi elektronika (PCU) teljesítménye megnőtt, pedig 20 százalékkal kisebb, és 10 százalékkal könnyebb is, mint volt.</w:t>
      </w:r>
      <w:r w:rsidR="0097390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Az elektromotorok és a benzinmotor fordulatszámának összehangolása úgy eredményez lineáris, </w:t>
      </w:r>
      <w:proofErr w:type="gram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intenzív</w:t>
      </w:r>
      <w:proofErr w:type="gram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gyorsulást, hogy az utóbbinak nem szükséges zavaróan magas fordulaton üzemelnie. A motor fordulatszáma szinkronban van a jármű sebességével, így a gázra lépve mindig azonnali és folyamatos gyorsulás a válasz.</w:t>
      </w:r>
      <w:r w:rsidR="0097390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Az új hajtásláncban a két elektromotor-generátor (MG1 és MG2) koaxiálisan, közös tengelyen dolgozik. Az eredmény: számottevően kisebb és könnyebb szerkezet, 25 százalékkal kisebb súrlódási </w:t>
      </w:r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veszteséggel. Ezen kívül az MG2 fordulatszáma is megnőtt, így nagyobb teljesítményt és hatékonyságot nyújt. A vezető számára mindez azt jelenti, hogy az autó a </w:t>
      </w:r>
      <w:proofErr w:type="gram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kategória</w:t>
      </w:r>
      <w:proofErr w:type="gram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legszűkebb, 10,4 méter átmérőjű fordulókörén kanyarodik (két járdaszegély között mért érték), vagyis nagyon könnyű vele manőverezni.</w:t>
      </w:r>
      <w:r w:rsidR="0097390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Sequential</w:t>
      </w:r>
      <w:proofErr w:type="spell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Shiftmatic</w:t>
      </w:r>
      <w:proofErr w:type="spell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funkció</w:t>
      </w:r>
      <w:proofErr w:type="gram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hat fokozatban állítható motorfékerőt kínál, ami beállítható a kormánykapcsolókkal, vagy S állásban a váltókarral is. A sebesség, amikor a </w:t>
      </w:r>
      <w:proofErr w:type="gram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rendszer leállíthatja a belsőégésű motort, például egy hosszabb lejtőn, 115 km/órára növekedett.</w:t>
      </w:r>
      <w:r w:rsidR="0097390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Az új, </w:t>
      </w:r>
      <w:proofErr w:type="gram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kompakt</w:t>
      </w:r>
      <w:proofErr w:type="gram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és könnyű építésű nikkel-metál-</w:t>
      </w:r>
      <w:proofErr w:type="spell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hidrid</w:t>
      </w:r>
      <w:proofErr w:type="spell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(</w:t>
      </w:r>
      <w:proofErr w:type="spell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NiMH</w:t>
      </w:r>
      <w:proofErr w:type="spell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) akkumulátor és ennek kompakt hűtőrendszere mélyre beépítve, a hátsó ülés alatt található, ami szintén hozzájárul az UX korábban említett, kedvezően alacsony súlypontjához.</w:t>
      </w:r>
    </w:p>
    <w:p w:rsidR="005E24F2" w:rsidRPr="001D4C06" w:rsidRDefault="005E24F2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E24F2" w:rsidRPr="0097390B" w:rsidRDefault="0097390B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97390B">
        <w:rPr>
          <w:rFonts w:ascii="Arial" w:eastAsiaTheme="minorHAnsi" w:hAnsi="Arial" w:cs="Arial"/>
          <w:b/>
          <w:sz w:val="22"/>
          <w:szCs w:val="22"/>
          <w:lang w:val="hu-HU"/>
        </w:rPr>
        <w:t>E-</w:t>
      </w:r>
      <w:proofErr w:type="spellStart"/>
      <w:r w:rsidRPr="0097390B">
        <w:rPr>
          <w:rFonts w:ascii="Arial" w:eastAsiaTheme="minorHAnsi" w:hAnsi="Arial" w:cs="Arial"/>
          <w:b/>
          <w:sz w:val="22"/>
          <w:szCs w:val="22"/>
          <w:lang w:val="hu-HU"/>
        </w:rPr>
        <w:t>Four</w:t>
      </w:r>
      <w:proofErr w:type="spellEnd"/>
      <w:r w:rsidRPr="0097390B">
        <w:rPr>
          <w:rFonts w:ascii="Arial" w:eastAsiaTheme="minorHAnsi" w:hAnsi="Arial" w:cs="Arial"/>
          <w:b/>
          <w:sz w:val="22"/>
          <w:szCs w:val="22"/>
          <w:lang w:val="hu-HU"/>
        </w:rPr>
        <w:t xml:space="preserve"> összkerékhajtás</w:t>
      </w:r>
    </w:p>
    <w:p w:rsidR="005E24F2" w:rsidRPr="001D4C06" w:rsidRDefault="005E24F2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D4C06">
        <w:rPr>
          <w:rFonts w:ascii="Arial" w:eastAsiaTheme="minorHAnsi" w:hAnsi="Arial" w:cs="Arial"/>
          <w:sz w:val="22"/>
          <w:szCs w:val="22"/>
          <w:lang w:val="hu-HU"/>
        </w:rPr>
        <w:t>Az UX 250h elérhető elsőkerékhajtással és E-</w:t>
      </w:r>
      <w:proofErr w:type="spellStart"/>
      <w:r w:rsidRPr="001D4C06">
        <w:rPr>
          <w:rFonts w:ascii="Arial" w:eastAsiaTheme="minorHAnsi" w:hAnsi="Arial" w:cs="Arial"/>
          <w:sz w:val="22"/>
          <w:szCs w:val="22"/>
          <w:lang w:val="hu-HU"/>
        </w:rPr>
        <w:t>Four</w:t>
      </w:r>
      <w:proofErr w:type="spellEnd"/>
      <w:r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összkerékhajtással is.</w:t>
      </w:r>
      <w:r w:rsidR="0097390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D4C06">
        <w:rPr>
          <w:rFonts w:ascii="Arial" w:eastAsiaTheme="minorHAnsi" w:hAnsi="Arial" w:cs="Arial"/>
          <w:sz w:val="22"/>
          <w:szCs w:val="22"/>
          <w:lang w:val="hu-HU"/>
        </w:rPr>
        <w:t>Az E-</w:t>
      </w:r>
      <w:proofErr w:type="spellStart"/>
      <w:r w:rsidRPr="001D4C06">
        <w:rPr>
          <w:rFonts w:ascii="Arial" w:eastAsiaTheme="minorHAnsi" w:hAnsi="Arial" w:cs="Arial"/>
          <w:sz w:val="22"/>
          <w:szCs w:val="22"/>
          <w:lang w:val="hu-HU"/>
        </w:rPr>
        <w:t>Four</w:t>
      </w:r>
      <w:proofErr w:type="spellEnd"/>
      <w:r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összkerékhajtás esetén egy külön, nagy nyomatékú elektromotor-generátort is beépítenek a hátsó differenciálműbe. A jármű</w:t>
      </w:r>
      <w:proofErr w:type="gramStart"/>
      <w:r w:rsidRPr="001D4C06">
        <w:rPr>
          <w:rFonts w:ascii="Arial" w:eastAsiaTheme="minorHAnsi" w:hAnsi="Arial" w:cs="Arial"/>
          <w:sz w:val="22"/>
          <w:szCs w:val="22"/>
          <w:lang w:val="hu-HU"/>
        </w:rPr>
        <w:t>stabilitás</w:t>
      </w:r>
      <w:proofErr w:type="gramEnd"/>
      <w:r w:rsidRPr="001D4C06">
        <w:rPr>
          <w:rFonts w:ascii="Arial" w:eastAsiaTheme="minorHAnsi" w:hAnsi="Arial" w:cs="Arial"/>
          <w:sz w:val="22"/>
          <w:szCs w:val="22"/>
          <w:lang w:val="hu-HU"/>
        </w:rPr>
        <w:t>-vezérlés (VSC) gondoskodik az első és a hátsó tengely közötti teljesítményelosztásról, folyamatosan változtatva a vonóerőt, amikor az autó gyorsít, kanyarodik vagy éppen csúszós úton halad. A rendszer a hagyományos, mechanikus osztóművet és hajtótengelyt is tartalmazó, magas belső súrlódású megoldásoknál sokkal gazdaságosabban működik. Az E-</w:t>
      </w:r>
      <w:proofErr w:type="spellStart"/>
      <w:r w:rsidRPr="001D4C06">
        <w:rPr>
          <w:rFonts w:ascii="Arial" w:eastAsiaTheme="minorHAnsi" w:hAnsi="Arial" w:cs="Arial"/>
          <w:sz w:val="22"/>
          <w:szCs w:val="22"/>
          <w:lang w:val="hu-HU"/>
        </w:rPr>
        <w:t>Four</w:t>
      </w:r>
      <w:proofErr w:type="spellEnd"/>
      <w:r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további előnye, hogy a tapadás növelése mellett a hátsó kerekekre jutó nyomaték szabályozásával a jármű alul- vagy túlkormányzottságát is mérsékelni tudja. </w:t>
      </w:r>
    </w:p>
    <w:p w:rsidR="005E24F2" w:rsidRPr="001D4C06" w:rsidRDefault="005E24F2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7390B" w:rsidRPr="0097390B" w:rsidRDefault="005E24F2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97390B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97390B" w:rsidRPr="0097390B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öntöltő </w:t>
      </w:r>
      <w:proofErr w:type="gramStart"/>
      <w:r w:rsidR="0097390B" w:rsidRPr="0097390B"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 w:rsidR="0097390B" w:rsidRPr="0097390B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rendszerének előnyei</w:t>
      </w:r>
    </w:p>
    <w:p w:rsidR="005E24F2" w:rsidRPr="001D4C06" w:rsidRDefault="0097390B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Lexus öntöltő </w:t>
      </w:r>
      <w:proofErr w:type="gram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hajtásláncainak negyedik generációját használó UX 250h könnyen és jól vezethető. A hajtáslánc az összes Lexus </w:t>
      </w:r>
      <w:proofErr w:type="gram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hibridhez</w:t>
      </w:r>
      <w:proofErr w:type="gram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hasonlóan kedvezőbb üzemanyag-hatékonyságú, és kevesebb káros anyagot is bocsát ki, mint kategóriájának benzines vagy dízel tagjai – és mindezt a töltéssel vagy a hatótávolsággal kapcsolatos problémák nélkül. Városi vezetésnél az UX 250h az </w:t>
      </w:r>
      <w:proofErr w:type="gram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út jelentős</w:t>
      </w:r>
      <w:proofErr w:type="gram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részét képes tisztán elektromos üzemben megtenni: a vezetési körülményektől függően akár 50</w:t>
      </w:r>
      <w:r>
        <w:rPr>
          <w:rFonts w:ascii="Arial" w:eastAsiaTheme="minorHAnsi" w:hAnsi="Arial" w:cs="Arial"/>
          <w:sz w:val="22"/>
          <w:szCs w:val="22"/>
          <w:lang w:val="hu-HU"/>
        </w:rPr>
        <w:t>-70</w:t>
      </w:r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százalékot is.</w:t>
      </w:r>
    </w:p>
    <w:p w:rsidR="0097390B" w:rsidRDefault="0097390B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E24F2" w:rsidRDefault="0097390B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7390B">
        <w:rPr>
          <w:rFonts w:ascii="Arial" w:eastAsiaTheme="minorHAnsi" w:hAnsi="Arial" w:cs="Arial"/>
          <w:b/>
          <w:sz w:val="22"/>
          <w:szCs w:val="22"/>
          <w:lang w:val="hu-HU"/>
        </w:rPr>
        <w:t>Elektromos hajtás: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Haladáskor vagy enyhe gyorsításkor az első elektromotor (illetve az összkerékhajtású modelleknél az </w:t>
      </w:r>
      <w:proofErr w:type="gram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extra</w:t>
      </w:r>
      <w:proofErr w:type="gram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hátsó elektromotor) a hibrid akkumulátorból származó elektromos energiával hajt. Ilyenkor a jármű szinte hangtalan és üzemanyagfelhasználás nélkül, nulla kibocsátással üzemel. </w:t>
      </w:r>
    </w:p>
    <w:p w:rsidR="0097390B" w:rsidRDefault="0097390B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E24F2" w:rsidRDefault="0097390B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7390B">
        <w:rPr>
          <w:rFonts w:ascii="Arial" w:eastAsiaTheme="minorHAnsi" w:hAnsi="Arial" w:cs="Arial"/>
          <w:b/>
          <w:sz w:val="22"/>
          <w:szCs w:val="22"/>
          <w:lang w:val="hu-HU"/>
        </w:rPr>
        <w:lastRenderedPageBreak/>
        <w:t>Dinamikus mégis kifinomult: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Nagyobb sebességnél halkan működésbe lép a finom járású, </w:t>
      </w:r>
      <w:proofErr w:type="spell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Atkinson</w:t>
      </w:r>
      <w:proofErr w:type="spell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ciklusú benzinmotor, amely – ha arra szükség van – segítséget kap a továbbra is üzemelő </w:t>
      </w:r>
      <w:proofErr w:type="gram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elektromotor(</w:t>
      </w:r>
      <w:proofErr w:type="gram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ok)</w:t>
      </w:r>
      <w:proofErr w:type="spell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tól</w:t>
      </w:r>
      <w:proofErr w:type="spell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. A kétféle erőforrás közel tökéletes munkamegosztásának köszönhetően az UX 250h kiemelkedő vezetési élményt nyújt, alacsony üzemanyag-fogyasztással és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minimális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károsanyag-kibocsátás</w:t>
      </w:r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</w:p>
    <w:p w:rsidR="0097390B" w:rsidRPr="001D4C06" w:rsidRDefault="0097390B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E24F2" w:rsidRDefault="0097390B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7390B">
        <w:rPr>
          <w:rFonts w:ascii="Arial" w:eastAsiaTheme="minorHAnsi" w:hAnsi="Arial" w:cs="Arial"/>
          <w:b/>
          <w:sz w:val="22"/>
          <w:szCs w:val="22"/>
          <w:lang w:val="hu-HU"/>
        </w:rPr>
        <w:t>Kiváló gyorsulás: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E</w:t>
      </w:r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rőteljes gyorsításnál az </w:t>
      </w:r>
      <w:proofErr w:type="gramStart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elektromotor(</w:t>
      </w:r>
      <w:proofErr w:type="gramEnd"/>
      <w:r w:rsidR="005E24F2" w:rsidRPr="001D4C06">
        <w:rPr>
          <w:rFonts w:ascii="Arial" w:eastAsiaTheme="minorHAnsi" w:hAnsi="Arial" w:cs="Arial"/>
          <w:sz w:val="22"/>
          <w:szCs w:val="22"/>
          <w:lang w:val="hu-HU"/>
        </w:rPr>
        <w:t>ok) energiája az elindulás pillanatától támogatja a kétliteres benzinmotor munkáját. A kétféle motor együttesen jókora forgatónyomatékot ad le, pontos és lineáris gyorsulás mellett.</w:t>
      </w:r>
    </w:p>
    <w:p w:rsidR="0097390B" w:rsidRPr="001D4C06" w:rsidRDefault="0097390B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E24F2" w:rsidRDefault="005E24F2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7390B">
        <w:rPr>
          <w:rFonts w:ascii="Arial" w:eastAsiaTheme="minorHAnsi" w:hAnsi="Arial" w:cs="Arial"/>
          <w:b/>
          <w:sz w:val="22"/>
          <w:szCs w:val="22"/>
          <w:lang w:val="hu-HU"/>
        </w:rPr>
        <w:t>N</w:t>
      </w:r>
      <w:r w:rsidR="0097390B" w:rsidRPr="0097390B">
        <w:rPr>
          <w:rFonts w:ascii="Arial" w:eastAsiaTheme="minorHAnsi" w:hAnsi="Arial" w:cs="Arial"/>
          <w:b/>
          <w:sz w:val="22"/>
          <w:szCs w:val="22"/>
          <w:lang w:val="hu-HU"/>
        </w:rPr>
        <w:t xml:space="preserve">incs </w:t>
      </w:r>
      <w:proofErr w:type="gramStart"/>
      <w:r w:rsidR="0097390B" w:rsidRPr="0097390B">
        <w:rPr>
          <w:rFonts w:ascii="Arial" w:eastAsiaTheme="minorHAnsi" w:hAnsi="Arial" w:cs="Arial"/>
          <w:b/>
          <w:sz w:val="22"/>
          <w:szCs w:val="22"/>
          <w:lang w:val="hu-HU"/>
        </w:rPr>
        <w:t>szükség töltésre</w:t>
      </w:r>
      <w:proofErr w:type="gramEnd"/>
      <w:r w:rsidR="0097390B" w:rsidRPr="0097390B">
        <w:rPr>
          <w:rFonts w:ascii="Arial" w:eastAsiaTheme="minorHAnsi" w:hAnsi="Arial" w:cs="Arial"/>
          <w:b/>
          <w:sz w:val="22"/>
          <w:szCs w:val="22"/>
          <w:lang w:val="hu-HU"/>
        </w:rPr>
        <w:t>:</w:t>
      </w:r>
      <w:r w:rsidR="0097390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Fékezéskor, vagy amikor a vezető leveszi a lábát a gázpedálról, a regeneratív fékezés a mozgási energiát elektromos energiává alakítja át, amely – a normál vezetési körülmények között keletkezett elektromos energiával együtt – a hibrid akkumulátorban </w:t>
      </w:r>
      <w:proofErr w:type="spellStart"/>
      <w:r w:rsidRPr="001D4C06">
        <w:rPr>
          <w:rFonts w:ascii="Arial" w:eastAsiaTheme="minorHAnsi" w:hAnsi="Arial" w:cs="Arial"/>
          <w:sz w:val="22"/>
          <w:szCs w:val="22"/>
          <w:lang w:val="hu-HU"/>
        </w:rPr>
        <w:t>tárolódik</w:t>
      </w:r>
      <w:proofErr w:type="spellEnd"/>
      <w:r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, így az UX 250h sosem igényel töltést külső áramforrásról. </w:t>
      </w:r>
    </w:p>
    <w:p w:rsidR="0097390B" w:rsidRPr="001D4C06" w:rsidRDefault="0097390B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E24F2" w:rsidRDefault="005E24F2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7390B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97390B" w:rsidRPr="0097390B">
        <w:rPr>
          <w:rFonts w:ascii="Arial" w:eastAsiaTheme="minorHAnsi" w:hAnsi="Arial" w:cs="Arial"/>
          <w:b/>
          <w:sz w:val="22"/>
          <w:szCs w:val="22"/>
          <w:lang w:val="hu-HU"/>
        </w:rPr>
        <w:t>lacsony fenntartási költségek:</w:t>
      </w:r>
      <w:r w:rsidR="0097390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Élvezetes vezethetősége mellett az UX 250h alacsony fenntartási költséggel és kiváló értéktartással is bír. Ez elsősorban a Lexus komoly, az öntöltő </w:t>
      </w:r>
      <w:proofErr w:type="gramStart"/>
      <w:r w:rsidRPr="001D4C06">
        <w:rPr>
          <w:rFonts w:ascii="Arial" w:eastAsiaTheme="minorHAnsi" w:hAnsi="Arial" w:cs="Arial"/>
          <w:sz w:val="22"/>
          <w:szCs w:val="22"/>
          <w:lang w:val="hu-HU"/>
        </w:rPr>
        <w:t>hibridek</w:t>
      </w:r>
      <w:proofErr w:type="gramEnd"/>
      <w:r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gyártásában szerzett tapasztalatainak köszönhető, másrészt az autók teljes élettartamát kiszolgáló akkumulátoroknak és a Lexus rendszer tartósságának tudható be.</w:t>
      </w:r>
    </w:p>
    <w:p w:rsidR="0097390B" w:rsidRPr="001D4C06" w:rsidRDefault="0097390B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E24F2" w:rsidRDefault="005E24F2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7390B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97390B" w:rsidRPr="0097390B">
        <w:rPr>
          <w:rFonts w:ascii="Arial" w:eastAsiaTheme="minorHAnsi" w:hAnsi="Arial" w:cs="Arial"/>
          <w:b/>
          <w:sz w:val="22"/>
          <w:szCs w:val="22"/>
          <w:lang w:val="hu-HU"/>
        </w:rPr>
        <w:t>lacsony szervizköltségek:</w:t>
      </w:r>
      <w:r w:rsidR="0097390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Az UX 250h modellt kuplungpedál nélkül tervezték, a </w:t>
      </w:r>
      <w:proofErr w:type="gramStart"/>
      <w:r w:rsidRPr="001D4C06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rendszer részét képező indítómotor-generátor pedig az autó egész élettartama alatt nem igényel szervizt vagy cserét. A hagyományos vezérműszíjat karbantartást nem igénylő láncra cserélték. Miután az említett alkatrészek szervizelésére és cseréjére nincs szükség, az UX 250h tulajdonosai akár 1500 eurót is megtakaríthatnak öt év alatt.  </w:t>
      </w:r>
    </w:p>
    <w:p w:rsidR="0097390B" w:rsidRPr="001D4C06" w:rsidRDefault="0097390B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7390B" w:rsidRDefault="005E24F2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7390B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proofErr w:type="gramStart"/>
      <w:r w:rsidR="0097390B" w:rsidRPr="0097390B"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 w:rsidR="0097390B" w:rsidRPr="0097390B">
        <w:rPr>
          <w:rFonts w:ascii="Arial" w:eastAsiaTheme="minorHAnsi" w:hAnsi="Arial" w:cs="Arial"/>
          <w:b/>
          <w:sz w:val="22"/>
          <w:szCs w:val="22"/>
          <w:lang w:val="hu-HU"/>
        </w:rPr>
        <w:t xml:space="preserve"> akkumulátor élettartama = </w:t>
      </w:r>
      <w:r w:rsidRPr="0097390B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97390B" w:rsidRPr="0097390B">
        <w:rPr>
          <w:rFonts w:ascii="Arial" w:eastAsiaTheme="minorHAnsi" w:hAnsi="Arial" w:cs="Arial"/>
          <w:b/>
          <w:sz w:val="22"/>
          <w:szCs w:val="22"/>
          <w:lang w:val="hu-HU"/>
        </w:rPr>
        <w:t>z autó éttartama:</w:t>
      </w:r>
      <w:r w:rsidR="0097390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A világszerte megtett körülbelül 60 millió kilométer bizonyítja, hogy a Lexus hibrid akkumulátorok az autó egész élettartama alatt kiválóan működnek. A tartósságot és teljesítményt szigorúan szem előtt tartva tervezett akkumulátorokra 5 éves, 100 000 kilométeres </w:t>
      </w:r>
      <w:proofErr w:type="gramStart"/>
      <w:r w:rsidRPr="001D4C06">
        <w:rPr>
          <w:rFonts w:ascii="Arial" w:eastAsiaTheme="minorHAnsi" w:hAnsi="Arial" w:cs="Arial"/>
          <w:sz w:val="22"/>
          <w:szCs w:val="22"/>
          <w:lang w:val="hu-HU"/>
        </w:rPr>
        <w:t>garancia</w:t>
      </w:r>
      <w:proofErr w:type="gramEnd"/>
      <w:r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érvényes. </w:t>
      </w:r>
    </w:p>
    <w:p w:rsidR="005E24F2" w:rsidRPr="001D4C06" w:rsidRDefault="005E24F2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</w:p>
    <w:p w:rsidR="005E24F2" w:rsidRPr="001D4C06" w:rsidRDefault="005E24F2" w:rsidP="001D4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7390B">
        <w:rPr>
          <w:rFonts w:ascii="Arial" w:eastAsiaTheme="minorHAnsi" w:hAnsi="Arial" w:cs="Arial"/>
          <w:b/>
          <w:sz w:val="22"/>
          <w:szCs w:val="22"/>
          <w:lang w:val="hu-HU"/>
        </w:rPr>
        <w:t>T</w:t>
      </w:r>
      <w:r w:rsidR="0097390B" w:rsidRPr="0097390B">
        <w:rPr>
          <w:rFonts w:ascii="Arial" w:eastAsiaTheme="minorHAnsi" w:hAnsi="Arial" w:cs="Arial"/>
          <w:b/>
          <w:sz w:val="22"/>
          <w:szCs w:val="22"/>
          <w:lang w:val="hu-HU"/>
        </w:rPr>
        <w:t>artós</w:t>
      </w:r>
      <w:bookmarkStart w:id="0" w:name="_GoBack"/>
      <w:bookmarkEnd w:id="0"/>
      <w:r w:rsidR="0097390B" w:rsidRPr="0097390B">
        <w:rPr>
          <w:rFonts w:ascii="Arial" w:eastAsiaTheme="minorHAnsi" w:hAnsi="Arial" w:cs="Arial"/>
          <w:b/>
          <w:sz w:val="22"/>
          <w:szCs w:val="22"/>
          <w:lang w:val="hu-HU"/>
        </w:rPr>
        <w:t xml:space="preserve"> fékek és gumiabroncsok:</w:t>
      </w:r>
      <w:r w:rsidR="0097390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A Lexus öntöltő hibridek regeneratív fékrendszerének köszönhetően – amely a fékerő egyik részét szolgáltatja – mind a fékbetétek, mind a féktárcsák kopása jelentősen csökken. 90 000 kilométer megtétele után egy Lexus </w:t>
      </w:r>
      <w:proofErr w:type="gramStart"/>
      <w:r w:rsidRPr="001D4C06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általában nem </w:t>
      </w:r>
      <w:r w:rsidRPr="001D4C06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igényel féktárcsacserét, és eddig a futásteljesítményig a fékbetétek cseréjére is csupán egyszer van szükség. Ezen kívül a </w:t>
      </w:r>
      <w:proofErr w:type="gramStart"/>
      <w:r w:rsidRPr="001D4C06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1D4C06">
        <w:rPr>
          <w:rFonts w:ascii="Arial" w:eastAsiaTheme="minorHAnsi" w:hAnsi="Arial" w:cs="Arial"/>
          <w:sz w:val="22"/>
          <w:szCs w:val="22"/>
          <w:lang w:val="hu-HU"/>
        </w:rPr>
        <w:t xml:space="preserve"> járművek magasabb abroncsnyomása csökkenti a gumik kopását, az egyenletes teljesítmény-leadás és súlyeloszlás pedig tovább késlelteti az abroncsok elhasználódását.</w:t>
      </w:r>
    </w:p>
    <w:p w:rsidR="009D649F" w:rsidRPr="009470A0" w:rsidRDefault="009D649F" w:rsidP="009470A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B17AF" w:rsidRDefault="008B17AF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E2" w:rsidRDefault="00F608E2" w:rsidP="00566E8D">
      <w:pPr>
        <w:spacing w:after="0" w:line="240" w:lineRule="auto"/>
      </w:pPr>
      <w:r>
        <w:separator/>
      </w:r>
    </w:p>
  </w:endnote>
  <w:endnote w:type="continuationSeparator" w:id="0">
    <w:p w:rsidR="00F608E2" w:rsidRDefault="00F608E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E2" w:rsidRDefault="00F608E2" w:rsidP="00566E8D">
      <w:pPr>
        <w:spacing w:after="0" w:line="240" w:lineRule="auto"/>
      </w:pPr>
      <w:r>
        <w:separator/>
      </w:r>
    </w:p>
  </w:footnote>
  <w:footnote w:type="continuationSeparator" w:id="0">
    <w:p w:rsidR="00F608E2" w:rsidRDefault="00F608E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B5BF2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2CE5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4890-A883-46C9-871A-0968F09E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974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2019-03-25T09:49:00Z</dcterms:created>
  <dcterms:modified xsi:type="dcterms:W3CDTF">2019-03-25T10:26:00Z</dcterms:modified>
</cp:coreProperties>
</file>