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B9D5" w14:textId="77777777" w:rsidR="00510FE8" w:rsidRDefault="00510FE8" w:rsidP="00510FE8">
      <w:pPr>
        <w:spacing w:after="0" w:line="360" w:lineRule="auto"/>
        <w:jc w:val="both"/>
        <w:rPr>
          <w:rFonts w:ascii="Toyota Type" w:hAnsi="Toyota Type" w:cs="Toyota Type"/>
        </w:rPr>
      </w:pPr>
    </w:p>
    <w:p w14:paraId="77AA839E" w14:textId="4335B769" w:rsidR="00FC2B9B" w:rsidRPr="00854111" w:rsidRDefault="00E174C2" w:rsidP="00224BA6">
      <w:pPr>
        <w:spacing w:after="0" w:line="360" w:lineRule="auto"/>
        <w:jc w:val="center"/>
        <w:rPr>
          <w:rFonts w:ascii="Toyota Type" w:hAnsi="Toyota Type" w:cs="Toyota Type"/>
          <w:b/>
          <w:bCs/>
          <w:sz w:val="24"/>
          <w:szCs w:val="24"/>
        </w:rPr>
      </w:pPr>
      <w:r>
        <w:rPr>
          <w:rFonts w:ascii="Toyota Type" w:hAnsi="Toyota Type" w:cs="Toyota Type"/>
          <w:b/>
          <w:bCs/>
          <w:sz w:val="24"/>
          <w:szCs w:val="24"/>
        </w:rPr>
        <w:t xml:space="preserve">Egyszerűen nincs megbízhatóbb autómárka a </w:t>
      </w:r>
      <w:proofErr w:type="spellStart"/>
      <w:r>
        <w:rPr>
          <w:rFonts w:ascii="Toyota Type" w:hAnsi="Toyota Type" w:cs="Toyota Type"/>
          <w:b/>
          <w:bCs/>
          <w:sz w:val="24"/>
          <w:szCs w:val="24"/>
        </w:rPr>
        <w:t>Lexusnál</w:t>
      </w:r>
      <w:proofErr w:type="spellEnd"/>
    </w:p>
    <w:p w14:paraId="3699D4DE" w14:textId="77777777" w:rsidR="00224BA6" w:rsidRPr="00224BA6" w:rsidRDefault="00224BA6" w:rsidP="00224BA6">
      <w:pPr>
        <w:spacing w:after="0" w:line="360" w:lineRule="auto"/>
        <w:jc w:val="center"/>
        <w:rPr>
          <w:rFonts w:ascii="Toyota Type" w:hAnsi="Toyota Type" w:cs="Toyota Type"/>
          <w:b/>
          <w:bCs/>
        </w:rPr>
      </w:pPr>
    </w:p>
    <w:p w14:paraId="5BB5A04C" w14:textId="10F214DA" w:rsidR="00297BA8" w:rsidRDefault="00297BA8" w:rsidP="00297BA8">
      <w:pPr>
        <w:shd w:val="clear" w:color="auto" w:fill="FFFFFF"/>
        <w:spacing w:after="0" w:line="360" w:lineRule="auto"/>
        <w:jc w:val="right"/>
        <w:rPr>
          <w:rFonts w:ascii="Toyota Type" w:hAnsi="Toyota Type" w:cs="Toyota Type"/>
        </w:rPr>
      </w:pPr>
      <w:r w:rsidRPr="003D51DE">
        <w:rPr>
          <w:rFonts w:ascii="Toyota Type" w:hAnsi="Toyota Type" w:cs="Toyota Type"/>
        </w:rPr>
        <w:t xml:space="preserve">2023. </w:t>
      </w:r>
      <w:r w:rsidR="00E174C2">
        <w:rPr>
          <w:rFonts w:ascii="Toyota Type" w:hAnsi="Toyota Type" w:cs="Toyota Type"/>
        </w:rPr>
        <w:t>október 20.</w:t>
      </w:r>
    </w:p>
    <w:p w14:paraId="711B5602" w14:textId="77777777" w:rsidR="00224BA6" w:rsidRDefault="00224BA6" w:rsidP="00224BA6">
      <w:pPr>
        <w:shd w:val="clear" w:color="auto" w:fill="FFFFFF"/>
        <w:spacing w:after="0" w:line="360" w:lineRule="auto"/>
        <w:rPr>
          <w:rFonts w:ascii="Toyota Type" w:hAnsi="Toyota Type" w:cs="Toyota Type"/>
        </w:rPr>
      </w:pPr>
    </w:p>
    <w:p w14:paraId="13AE9845" w14:textId="574770A0" w:rsidR="00224BA6" w:rsidRPr="00801A64" w:rsidRDefault="005A754E" w:rsidP="00E174C2">
      <w:pPr>
        <w:shd w:val="clear" w:color="auto" w:fill="FFFFFF"/>
        <w:spacing w:after="0" w:line="360" w:lineRule="auto"/>
        <w:jc w:val="both"/>
        <w:rPr>
          <w:rFonts w:ascii="Toyota Type" w:hAnsi="Toyota Type" w:cs="Toyota Type"/>
          <w:b/>
          <w:bCs/>
        </w:rPr>
      </w:pPr>
      <w:r w:rsidRPr="00801A64">
        <w:rPr>
          <w:rFonts w:ascii="Toyota Type" w:hAnsi="Toyota Type" w:cs="Toyota Type"/>
          <w:b/>
          <w:bCs/>
        </w:rPr>
        <w:t xml:space="preserve">Az évente megrendezésre kerülő </w:t>
      </w:r>
      <w:r w:rsidR="00906484" w:rsidRPr="00801A64">
        <w:rPr>
          <w:rFonts w:ascii="Toyota Type" w:hAnsi="Toyota Type" w:cs="Toyota Type"/>
          <w:b/>
          <w:bCs/>
        </w:rPr>
        <w:t xml:space="preserve">brit </w:t>
      </w:r>
      <w:proofErr w:type="spellStart"/>
      <w:r w:rsidR="00906484" w:rsidRPr="00801A64">
        <w:rPr>
          <w:rFonts w:ascii="Toyota Type" w:hAnsi="Toyota Type" w:cs="Toyota Type"/>
          <w:b/>
          <w:bCs/>
        </w:rPr>
        <w:t>Auto</w:t>
      </w:r>
      <w:proofErr w:type="spellEnd"/>
      <w:r w:rsidR="00906484" w:rsidRPr="00801A64">
        <w:rPr>
          <w:rFonts w:ascii="Toyota Type" w:hAnsi="Toyota Type" w:cs="Toyota Type"/>
          <w:b/>
          <w:bCs/>
        </w:rPr>
        <w:t xml:space="preserve"> </w:t>
      </w:r>
      <w:proofErr w:type="spellStart"/>
      <w:r w:rsidR="00906484" w:rsidRPr="00801A64">
        <w:rPr>
          <w:rFonts w:ascii="Toyota Type" w:hAnsi="Toyota Type" w:cs="Toyota Type"/>
          <w:b/>
          <w:bCs/>
        </w:rPr>
        <w:t>Trader</w:t>
      </w:r>
      <w:proofErr w:type="spellEnd"/>
      <w:r w:rsidR="00906484" w:rsidRPr="00801A64">
        <w:rPr>
          <w:rFonts w:ascii="Toyota Type" w:hAnsi="Toyota Type" w:cs="Toyota Type"/>
          <w:b/>
          <w:bCs/>
        </w:rPr>
        <w:t xml:space="preserve"> webhely versenyén a </w:t>
      </w:r>
      <w:r w:rsidR="004205A8" w:rsidRPr="00801A64">
        <w:rPr>
          <w:rFonts w:ascii="Toyota Type" w:hAnsi="Toyota Type" w:cs="Toyota Type"/>
          <w:b/>
          <w:bCs/>
        </w:rPr>
        <w:t xml:space="preserve">szavazók </w:t>
      </w:r>
      <w:r w:rsidR="00E174C2">
        <w:rPr>
          <w:rFonts w:ascii="Toyota Type" w:hAnsi="Toyota Type" w:cs="Toyota Type"/>
          <w:b/>
          <w:bCs/>
        </w:rPr>
        <w:t xml:space="preserve">immáron sorozatban negyedik alkalommal, </w:t>
      </w:r>
      <w:r w:rsidR="004205A8" w:rsidRPr="00801A64">
        <w:rPr>
          <w:rFonts w:ascii="Toyota Type" w:hAnsi="Toyota Type" w:cs="Toyota Type"/>
          <w:b/>
          <w:bCs/>
        </w:rPr>
        <w:t>2023-ban is a Lexus mellett döntöttek</w:t>
      </w:r>
      <w:r w:rsidR="00E174C2">
        <w:rPr>
          <w:rFonts w:ascii="Toyota Type" w:hAnsi="Toyota Type" w:cs="Toyota Type"/>
          <w:b/>
          <w:bCs/>
        </w:rPr>
        <w:t xml:space="preserve"> amikor arra a kérdésre keresték a választ, hogy melyik autómárkát találják a legmegbízhatóbbnak.</w:t>
      </w:r>
      <w:r w:rsidR="004205A8" w:rsidRPr="00801A64">
        <w:rPr>
          <w:rFonts w:ascii="Toyota Type" w:hAnsi="Toyota Type" w:cs="Toyota Type"/>
          <w:b/>
          <w:bCs/>
        </w:rPr>
        <w:t xml:space="preserve"> </w:t>
      </w:r>
      <w:r w:rsidR="00B20E6C">
        <w:rPr>
          <w:rFonts w:ascii="Toyota Type" w:hAnsi="Toyota Type" w:cs="Toyota Type"/>
          <w:b/>
          <w:bCs/>
        </w:rPr>
        <w:t>Id</w:t>
      </w:r>
      <w:r w:rsidR="00ED2301">
        <w:rPr>
          <w:rFonts w:ascii="Toyota Type" w:hAnsi="Toyota Type" w:cs="Toyota Type"/>
          <w:b/>
          <w:bCs/>
        </w:rPr>
        <w:t>é</w:t>
      </w:r>
      <w:r w:rsidR="00B20E6C">
        <w:rPr>
          <w:rFonts w:ascii="Toyota Type" w:hAnsi="Toyota Type" w:cs="Toyota Type"/>
          <w:b/>
          <w:bCs/>
        </w:rPr>
        <w:t xml:space="preserve">n több, mint 220.000-en szavaztak a </w:t>
      </w:r>
      <w:proofErr w:type="spellStart"/>
      <w:r w:rsidR="00B20E6C">
        <w:rPr>
          <w:rFonts w:ascii="Toyota Type" w:hAnsi="Toyota Type" w:cs="Toyota Type"/>
          <w:b/>
          <w:bCs/>
        </w:rPr>
        <w:t>Lexusra</w:t>
      </w:r>
      <w:proofErr w:type="spellEnd"/>
      <w:r w:rsidR="00505119">
        <w:rPr>
          <w:rFonts w:ascii="Toyota Type" w:hAnsi="Toyota Type" w:cs="Toyota Type"/>
          <w:b/>
          <w:bCs/>
        </w:rPr>
        <w:t xml:space="preserve">, jól mutatva, hogy a kimagasló minőség és legendás megbízhatóság az autóvásárlók szemében is környezetbarát japán luxusautómárka alapértékei. </w:t>
      </w:r>
    </w:p>
    <w:p w14:paraId="0E27EAE3" w14:textId="77777777" w:rsidR="00224BA6" w:rsidRPr="003D51DE" w:rsidRDefault="00224BA6" w:rsidP="00297BA8">
      <w:pPr>
        <w:shd w:val="clear" w:color="auto" w:fill="FFFFFF"/>
        <w:spacing w:after="0" w:line="360" w:lineRule="auto"/>
        <w:jc w:val="right"/>
        <w:rPr>
          <w:rFonts w:ascii="Toyota Type" w:hAnsi="Toyota Type" w:cs="Toyota Type"/>
        </w:rPr>
      </w:pPr>
    </w:p>
    <w:p w14:paraId="01C005AF" w14:textId="7326500B" w:rsidR="005779FE" w:rsidRDefault="005779FE" w:rsidP="00297BA8">
      <w:pPr>
        <w:spacing w:after="0" w:line="360" w:lineRule="auto"/>
        <w:jc w:val="both"/>
        <w:rPr>
          <w:rFonts w:ascii="Toyota Type" w:hAnsi="Toyota Type" w:cs="Toyota Type"/>
        </w:rPr>
      </w:pPr>
      <w:r w:rsidRPr="00297BA8">
        <w:rPr>
          <w:rFonts w:ascii="Toyota Type" w:hAnsi="Toyota Type" w:cs="Toyota Type"/>
        </w:rPr>
        <w:t xml:space="preserve">A Lexus megőrizte pozícióját, mint az Egyesült Királyság egyik legelismertebb autógyártója, hiszen 2023-ban is elnyerte a Legmegbízhatóbb Autómárkának járó díjat az </w:t>
      </w:r>
      <w:proofErr w:type="spellStart"/>
      <w:r w:rsidRPr="00297BA8">
        <w:rPr>
          <w:rFonts w:ascii="Toyota Type" w:hAnsi="Toyota Type" w:cs="Toyota Type"/>
        </w:rPr>
        <w:t>Auto</w:t>
      </w:r>
      <w:proofErr w:type="spellEnd"/>
      <w:r w:rsidRPr="00297BA8">
        <w:rPr>
          <w:rFonts w:ascii="Toyota Type" w:hAnsi="Toyota Type" w:cs="Toyota Type"/>
        </w:rPr>
        <w:t xml:space="preserve"> </w:t>
      </w:r>
      <w:proofErr w:type="spellStart"/>
      <w:r w:rsidRPr="00297BA8">
        <w:rPr>
          <w:rFonts w:ascii="Toyota Type" w:hAnsi="Toyota Type" w:cs="Toyota Type"/>
        </w:rPr>
        <w:t>Trader</w:t>
      </w:r>
      <w:proofErr w:type="spellEnd"/>
      <w:r w:rsidRPr="00297BA8">
        <w:rPr>
          <w:rFonts w:ascii="Toyota Type" w:hAnsi="Toyota Type" w:cs="Toyota Type"/>
        </w:rPr>
        <w:t xml:space="preserve"> New </w:t>
      </w:r>
      <w:proofErr w:type="spellStart"/>
      <w:r w:rsidRPr="00297BA8">
        <w:rPr>
          <w:rFonts w:ascii="Toyota Type" w:hAnsi="Toyota Type" w:cs="Toyota Type"/>
        </w:rPr>
        <w:t>Car</w:t>
      </w:r>
      <w:proofErr w:type="spellEnd"/>
      <w:r w:rsidRPr="00297BA8">
        <w:rPr>
          <w:rFonts w:ascii="Toyota Type" w:hAnsi="Toyota Type" w:cs="Toyota Type"/>
        </w:rPr>
        <w:t xml:space="preserve"> </w:t>
      </w:r>
      <w:proofErr w:type="spellStart"/>
      <w:r w:rsidRPr="00297BA8">
        <w:rPr>
          <w:rFonts w:ascii="Toyota Type" w:hAnsi="Toyota Type" w:cs="Toyota Type"/>
        </w:rPr>
        <w:t>Awards</w:t>
      </w:r>
      <w:proofErr w:type="spellEnd"/>
      <w:r w:rsidRPr="00297BA8">
        <w:rPr>
          <w:rFonts w:ascii="Toyota Type" w:hAnsi="Toyota Type" w:cs="Toyota Type"/>
        </w:rPr>
        <w:t xml:space="preserve"> átadón.</w:t>
      </w:r>
      <w:r w:rsidR="00505119">
        <w:rPr>
          <w:rFonts w:ascii="Toyota Type" w:hAnsi="Toyota Type" w:cs="Toyota Type"/>
        </w:rPr>
        <w:t xml:space="preserve"> </w:t>
      </w:r>
      <w:r w:rsidRPr="00297BA8">
        <w:rPr>
          <w:rFonts w:ascii="Toyota Type" w:hAnsi="Toyota Type" w:cs="Toyota Type"/>
        </w:rPr>
        <w:t xml:space="preserve">Az </w:t>
      </w:r>
      <w:proofErr w:type="spellStart"/>
      <w:r w:rsidRPr="00297BA8">
        <w:rPr>
          <w:rFonts w:ascii="Toyota Type" w:hAnsi="Toyota Type" w:cs="Toyota Type"/>
        </w:rPr>
        <w:t>Auto</w:t>
      </w:r>
      <w:proofErr w:type="spellEnd"/>
      <w:r w:rsidRPr="00297BA8">
        <w:rPr>
          <w:rFonts w:ascii="Toyota Type" w:hAnsi="Toyota Type" w:cs="Toyota Type"/>
        </w:rPr>
        <w:t xml:space="preserve"> </w:t>
      </w:r>
      <w:proofErr w:type="spellStart"/>
      <w:r w:rsidRPr="00297BA8">
        <w:rPr>
          <w:rFonts w:ascii="Toyota Type" w:hAnsi="Toyota Type" w:cs="Toyota Type"/>
        </w:rPr>
        <w:t>Trader</w:t>
      </w:r>
      <w:proofErr w:type="spellEnd"/>
      <w:r w:rsidRPr="00297BA8">
        <w:rPr>
          <w:rFonts w:ascii="Toyota Type" w:hAnsi="Toyota Type" w:cs="Toyota Type"/>
        </w:rPr>
        <w:t xml:space="preserve"> az Egyesült Királyság egyik legnagyobb használt és új autók online értékesítésével foglalkozó webhelye.</w:t>
      </w:r>
      <w:r w:rsidR="00505119">
        <w:rPr>
          <w:rFonts w:ascii="Toyota Type" w:hAnsi="Toyota Type" w:cs="Toyota Type"/>
        </w:rPr>
        <w:t xml:space="preserve"> </w:t>
      </w:r>
      <w:r w:rsidRPr="00297BA8">
        <w:rPr>
          <w:rFonts w:ascii="Toyota Type" w:hAnsi="Toyota Type" w:cs="Toyota Type"/>
        </w:rPr>
        <w:t xml:space="preserve">Öt éven belül ez a negyedik alkalom, hogy a Lexus elnyerte a címet, amelyet az </w:t>
      </w:r>
      <w:proofErr w:type="spellStart"/>
      <w:r w:rsidRPr="00297BA8">
        <w:rPr>
          <w:rFonts w:ascii="Toyota Type" w:hAnsi="Toyota Type" w:cs="Toyota Type"/>
        </w:rPr>
        <w:t>Auto</w:t>
      </w:r>
      <w:proofErr w:type="spellEnd"/>
      <w:r w:rsidRPr="00297BA8">
        <w:rPr>
          <w:rFonts w:ascii="Toyota Type" w:hAnsi="Toyota Type" w:cs="Toyota Type"/>
        </w:rPr>
        <w:t xml:space="preserve"> </w:t>
      </w:r>
      <w:proofErr w:type="spellStart"/>
      <w:r w:rsidRPr="00297BA8">
        <w:rPr>
          <w:rFonts w:ascii="Toyota Type" w:hAnsi="Toyota Type" w:cs="Toyota Type"/>
        </w:rPr>
        <w:t>Trader</w:t>
      </w:r>
      <w:proofErr w:type="spellEnd"/>
      <w:r w:rsidRPr="00297BA8">
        <w:rPr>
          <w:rFonts w:ascii="Toyota Type" w:hAnsi="Toyota Type" w:cs="Toyota Type"/>
        </w:rPr>
        <w:t xml:space="preserve"> éves felmérésére válaszoló több mint 220.000 brit autótulajdonos valós tapasztalatai és véleménye alapján ítélnek oda.</w:t>
      </w:r>
    </w:p>
    <w:p w14:paraId="7D831C08" w14:textId="77777777" w:rsidR="00505119" w:rsidRPr="00297BA8" w:rsidRDefault="00505119" w:rsidP="00297BA8">
      <w:pPr>
        <w:spacing w:after="0" w:line="360" w:lineRule="auto"/>
        <w:jc w:val="both"/>
        <w:rPr>
          <w:rFonts w:ascii="Toyota Type" w:hAnsi="Toyota Type" w:cs="Toyota Type"/>
        </w:rPr>
      </w:pPr>
    </w:p>
    <w:p w14:paraId="3EA6BD4D" w14:textId="6E2186B6" w:rsidR="00797FDB" w:rsidRDefault="005779FE" w:rsidP="00297BA8">
      <w:pPr>
        <w:spacing w:after="0" w:line="360" w:lineRule="auto"/>
        <w:jc w:val="both"/>
        <w:rPr>
          <w:rFonts w:ascii="Toyota Type" w:hAnsi="Toyota Type" w:cs="Toyota Type"/>
        </w:rPr>
      </w:pPr>
      <w:r w:rsidRPr="00505119">
        <w:rPr>
          <w:rFonts w:ascii="Toyota Type" w:hAnsi="Toyota Type" w:cs="Toyota Type"/>
          <w:i/>
          <w:iCs/>
        </w:rPr>
        <w:t xml:space="preserve"> „A minőség, a megbízhatóság és a kényelem </w:t>
      </w:r>
      <w:r w:rsidR="00D130FA" w:rsidRPr="00505119">
        <w:rPr>
          <w:rFonts w:ascii="Toyota Type" w:hAnsi="Toyota Type" w:cs="Toyota Type"/>
          <w:i/>
          <w:iCs/>
        </w:rPr>
        <w:t xml:space="preserve">volt az a </w:t>
      </w:r>
      <w:r w:rsidRPr="00505119">
        <w:rPr>
          <w:rFonts w:ascii="Toyota Type" w:hAnsi="Toyota Type" w:cs="Toyota Type"/>
          <w:i/>
          <w:iCs/>
        </w:rPr>
        <w:t xml:space="preserve">három jellemző, amely </w:t>
      </w:r>
      <w:r w:rsidR="00D130FA" w:rsidRPr="00505119">
        <w:rPr>
          <w:rFonts w:ascii="Toyota Type" w:hAnsi="Toyota Type" w:cs="Toyota Type"/>
          <w:i/>
          <w:iCs/>
        </w:rPr>
        <w:t xml:space="preserve">egyértelműen kirajzolódott a </w:t>
      </w:r>
      <w:r w:rsidRPr="00505119">
        <w:rPr>
          <w:rFonts w:ascii="Toyota Type" w:hAnsi="Toyota Type" w:cs="Toyota Type"/>
          <w:i/>
          <w:iCs/>
        </w:rPr>
        <w:t xml:space="preserve">felmérésünk alapján. Ahogy az egyik tulajdonos mondta: „Bárcsak évekkel ezelőtt vettem volna egy </w:t>
      </w:r>
      <w:proofErr w:type="spellStart"/>
      <w:r w:rsidRPr="00505119">
        <w:rPr>
          <w:rFonts w:ascii="Toyota Type" w:hAnsi="Toyota Type" w:cs="Toyota Type"/>
          <w:i/>
          <w:iCs/>
        </w:rPr>
        <w:t>Lexust</w:t>
      </w:r>
      <w:proofErr w:type="spellEnd"/>
      <w:r w:rsidRPr="00505119">
        <w:rPr>
          <w:rFonts w:ascii="Toyota Type" w:hAnsi="Toyota Type" w:cs="Toyota Type"/>
          <w:i/>
          <w:iCs/>
        </w:rPr>
        <w:t xml:space="preserve">, ez a legjobb autó, amit vezettem, és soha nem </w:t>
      </w:r>
      <w:r w:rsidR="00D130FA" w:rsidRPr="00505119">
        <w:rPr>
          <w:rFonts w:ascii="Toyota Type" w:hAnsi="Toyota Type" w:cs="Toyota Type"/>
          <w:i/>
          <w:iCs/>
        </w:rPr>
        <w:t>váltanék</w:t>
      </w:r>
      <w:r w:rsidRPr="00505119">
        <w:rPr>
          <w:rFonts w:ascii="Toyota Type" w:hAnsi="Toyota Type" w:cs="Toyota Type"/>
          <w:i/>
          <w:iCs/>
        </w:rPr>
        <w:t xml:space="preserve"> másik </w:t>
      </w:r>
      <w:r w:rsidR="00D130FA" w:rsidRPr="00505119">
        <w:rPr>
          <w:rFonts w:ascii="Toyota Type" w:hAnsi="Toyota Type" w:cs="Toyota Type"/>
          <w:i/>
          <w:iCs/>
        </w:rPr>
        <w:t>márkára</w:t>
      </w:r>
      <w:r w:rsidRPr="00505119">
        <w:rPr>
          <w:rFonts w:ascii="Toyota Type" w:hAnsi="Toyota Type" w:cs="Toyota Type"/>
          <w:i/>
          <w:iCs/>
        </w:rPr>
        <w:t>.”</w:t>
      </w:r>
      <w:r w:rsidR="00505119">
        <w:rPr>
          <w:rFonts w:ascii="Toyota Type" w:hAnsi="Toyota Type" w:cs="Toyota Type"/>
        </w:rPr>
        <w:t xml:space="preserve"> – fogalmaz </w:t>
      </w:r>
      <w:r w:rsidR="00505119" w:rsidRPr="00297BA8">
        <w:rPr>
          <w:rFonts w:ascii="Toyota Type" w:hAnsi="Toyota Type" w:cs="Toyota Type"/>
        </w:rPr>
        <w:t xml:space="preserve">Erin Baker, az </w:t>
      </w:r>
      <w:proofErr w:type="spellStart"/>
      <w:r w:rsidR="00505119" w:rsidRPr="00297BA8">
        <w:rPr>
          <w:rFonts w:ascii="Toyota Type" w:hAnsi="Toyota Type" w:cs="Toyota Type"/>
        </w:rPr>
        <w:t>Auto</w:t>
      </w:r>
      <w:proofErr w:type="spellEnd"/>
      <w:r w:rsidR="00505119" w:rsidRPr="00297BA8">
        <w:rPr>
          <w:rFonts w:ascii="Toyota Type" w:hAnsi="Toyota Type" w:cs="Toyota Type"/>
        </w:rPr>
        <w:t xml:space="preserve"> </w:t>
      </w:r>
      <w:proofErr w:type="spellStart"/>
      <w:r w:rsidR="00505119" w:rsidRPr="00297BA8">
        <w:rPr>
          <w:rFonts w:ascii="Toyota Type" w:hAnsi="Toyota Type" w:cs="Toyota Type"/>
        </w:rPr>
        <w:t>Trader</w:t>
      </w:r>
      <w:proofErr w:type="spellEnd"/>
      <w:r w:rsidR="00505119" w:rsidRPr="00297BA8">
        <w:rPr>
          <w:rFonts w:ascii="Toyota Type" w:hAnsi="Toyota Type" w:cs="Toyota Type"/>
        </w:rPr>
        <w:t xml:space="preserve"> szerkesztőségi igazgatója</w:t>
      </w:r>
      <w:r w:rsidR="00505119">
        <w:rPr>
          <w:rFonts w:ascii="Toyota Type" w:hAnsi="Toyota Type" w:cs="Toyota Type"/>
        </w:rPr>
        <w:t>.</w:t>
      </w:r>
    </w:p>
    <w:p w14:paraId="00120BC0" w14:textId="77777777" w:rsidR="00505119" w:rsidRDefault="00505119" w:rsidP="00297BA8">
      <w:pPr>
        <w:spacing w:after="0" w:line="360" w:lineRule="auto"/>
        <w:jc w:val="both"/>
        <w:rPr>
          <w:rFonts w:ascii="Toyota Type" w:hAnsi="Toyota Type" w:cs="Toyota Type"/>
        </w:rPr>
      </w:pPr>
    </w:p>
    <w:p w14:paraId="44B2C79A" w14:textId="77777777" w:rsidR="00505119" w:rsidRDefault="00D130FA" w:rsidP="00297BA8">
      <w:pPr>
        <w:spacing w:after="0" w:line="360" w:lineRule="auto"/>
        <w:jc w:val="both"/>
        <w:rPr>
          <w:rFonts w:ascii="Toyota Type" w:hAnsi="Toyota Type" w:cs="Toyota Type"/>
        </w:rPr>
      </w:pPr>
      <w:r w:rsidRPr="00505119">
        <w:rPr>
          <w:rFonts w:ascii="Toyota Type" w:hAnsi="Toyota Type" w:cs="Toyota Type"/>
          <w:i/>
          <w:iCs/>
        </w:rPr>
        <w:t xml:space="preserve"> „A gyorsan változó és erősen versengő piacon a megbízhatóság továbbra is az ügyfelek legfőbb prioritása. Ez egy olyan tulajdonság, amely mindig is a Lexus középpontjában állt, és ott is marad, amikor elektromos modelljeink új generációját mutatjuk majd be. Az, hogy ezt a díjat sikerült negyedik alkalommal is elnyernünk, azt tükrözi, hogy megéri az autóinkba és </w:t>
      </w:r>
      <w:r w:rsidRPr="00505119">
        <w:rPr>
          <w:rFonts w:ascii="Toyota Type" w:hAnsi="Toyota Type" w:cs="Toyota Type"/>
          <w:i/>
          <w:iCs/>
        </w:rPr>
        <w:lastRenderedPageBreak/>
        <w:t>szolgáltatásainkba befektetett munka, hiszen ez az alapja a vásárlóink körében szerzett hírnevünk tartós erejének.”</w:t>
      </w:r>
      <w:r w:rsidR="00505119">
        <w:rPr>
          <w:rFonts w:ascii="Toyota Type" w:hAnsi="Toyota Type" w:cs="Toyota Type"/>
        </w:rPr>
        <w:t xml:space="preserve"> – teszi hozzá </w:t>
      </w:r>
      <w:r w:rsidR="00505119" w:rsidRPr="00297BA8">
        <w:rPr>
          <w:rFonts w:ascii="Toyota Type" w:hAnsi="Toyota Type" w:cs="Toyota Type"/>
        </w:rPr>
        <w:t xml:space="preserve">Chris </w:t>
      </w:r>
      <w:proofErr w:type="spellStart"/>
      <w:r w:rsidR="00505119" w:rsidRPr="00297BA8">
        <w:rPr>
          <w:rFonts w:ascii="Toyota Type" w:hAnsi="Toyota Type" w:cs="Toyota Type"/>
        </w:rPr>
        <w:t>Hayes</w:t>
      </w:r>
      <w:proofErr w:type="spellEnd"/>
      <w:r w:rsidR="00505119" w:rsidRPr="00297BA8">
        <w:rPr>
          <w:rFonts w:ascii="Toyota Type" w:hAnsi="Toyota Type" w:cs="Toyota Type"/>
        </w:rPr>
        <w:t xml:space="preserve">, a Lexus egyesült </w:t>
      </w:r>
      <w:proofErr w:type="spellStart"/>
      <w:r w:rsidR="00505119" w:rsidRPr="00297BA8">
        <w:rPr>
          <w:rFonts w:ascii="Toyota Type" w:hAnsi="Toyota Type" w:cs="Toyota Type"/>
        </w:rPr>
        <w:t>királyságbeli</w:t>
      </w:r>
      <w:proofErr w:type="spellEnd"/>
      <w:r w:rsidR="00505119" w:rsidRPr="00297BA8">
        <w:rPr>
          <w:rFonts w:ascii="Toyota Type" w:hAnsi="Toyota Type" w:cs="Toyota Type"/>
        </w:rPr>
        <w:t xml:space="preserve"> vezetője</w:t>
      </w:r>
      <w:r w:rsidR="00505119">
        <w:rPr>
          <w:rFonts w:ascii="Toyota Type" w:hAnsi="Toyota Type" w:cs="Toyota Type"/>
        </w:rPr>
        <w:t>.</w:t>
      </w:r>
    </w:p>
    <w:p w14:paraId="32648C0E" w14:textId="77777777" w:rsidR="00505119" w:rsidRDefault="00505119" w:rsidP="00297BA8">
      <w:pPr>
        <w:spacing w:after="0" w:line="360" w:lineRule="auto"/>
        <w:jc w:val="both"/>
        <w:rPr>
          <w:rFonts w:ascii="Toyota Type" w:hAnsi="Toyota Type" w:cs="Toyota Type"/>
        </w:rPr>
      </w:pPr>
    </w:p>
    <w:p w14:paraId="281281AD" w14:textId="5A5CD2F1" w:rsidR="00F60A59" w:rsidRDefault="00F60A59" w:rsidP="00297BA8">
      <w:pPr>
        <w:spacing w:after="0" w:line="360" w:lineRule="auto"/>
        <w:jc w:val="both"/>
        <w:rPr>
          <w:rFonts w:ascii="Toyota Type" w:hAnsi="Toyota Type" w:cs="Toyota Type"/>
        </w:rPr>
      </w:pPr>
      <w:r>
        <w:rPr>
          <w:rFonts w:ascii="Toyota Type" w:hAnsi="Toyota Type" w:cs="Toyota Type"/>
        </w:rPr>
        <w:t xml:space="preserve">Azt, hogy maga az Európában 99%-ban elektrifikált (öntöltő hibrid elektromos, </w:t>
      </w:r>
      <w:proofErr w:type="spellStart"/>
      <w:r>
        <w:rPr>
          <w:rFonts w:ascii="Toyota Type" w:hAnsi="Toyota Type" w:cs="Toyota Type"/>
        </w:rPr>
        <w:t>plug</w:t>
      </w:r>
      <w:proofErr w:type="spellEnd"/>
      <w:r>
        <w:rPr>
          <w:rFonts w:ascii="Toyota Type" w:hAnsi="Toyota Type" w:cs="Toyota Type"/>
        </w:rPr>
        <w:t>-in hibrid elektromos és akkum</w:t>
      </w:r>
      <w:r w:rsidR="00890BA5">
        <w:rPr>
          <w:rFonts w:ascii="Toyota Type" w:hAnsi="Toyota Type" w:cs="Toyota Type"/>
        </w:rPr>
        <w:t>ulátoros elektromos) autókat értékesítő</w:t>
      </w:r>
      <w:r>
        <w:rPr>
          <w:rFonts w:ascii="Toyota Type" w:hAnsi="Toyota Type" w:cs="Toyota Type"/>
        </w:rPr>
        <w:t xml:space="preserve"> Lexus is mennyire bízik saját termékeiben</w:t>
      </w:r>
      <w:r w:rsidR="00890BA5">
        <w:rPr>
          <w:rFonts w:ascii="Toyota Type" w:hAnsi="Toyota Type" w:cs="Toyota Type"/>
        </w:rPr>
        <w:t xml:space="preserve">, jól mutatja, hogy a </w:t>
      </w:r>
      <w:r w:rsidR="00950343">
        <w:rPr>
          <w:rFonts w:ascii="Toyota Type" w:hAnsi="Toyota Type" w:cs="Toyota Type"/>
        </w:rPr>
        <w:t xml:space="preserve">japán luxusautómárka </w:t>
      </w:r>
      <w:r w:rsidR="00C6262A">
        <w:rPr>
          <w:rFonts w:ascii="Toyota Type" w:hAnsi="Toyota Type" w:cs="Toyota Type"/>
        </w:rPr>
        <w:t xml:space="preserve">a 3 éves vagy 100.000 kilométeres </w:t>
      </w:r>
      <w:hyperlink r:id="rId9" w:history="1">
        <w:r w:rsidR="00C6262A" w:rsidRPr="0094066A">
          <w:rPr>
            <w:rStyle w:val="Hyperlink"/>
            <w:rFonts w:ascii="Toyota Type" w:hAnsi="Toyota Type" w:cs="Toyota Type"/>
          </w:rPr>
          <w:t>alapgarancia</w:t>
        </w:r>
      </w:hyperlink>
      <w:r w:rsidR="00C6262A">
        <w:rPr>
          <w:rFonts w:ascii="Toyota Type" w:hAnsi="Toyota Type" w:cs="Toyota Type"/>
        </w:rPr>
        <w:t xml:space="preserve"> mellett elektrifikált modelljeire 10 éves vagy 200.000 kilométeres </w:t>
      </w:r>
      <w:hyperlink r:id="rId10" w:history="1">
        <w:r w:rsidR="00C6262A" w:rsidRPr="0094066A">
          <w:rPr>
            <w:rStyle w:val="Hyperlink"/>
            <w:rFonts w:ascii="Toyota Type" w:hAnsi="Toyota Type" w:cs="Toyota Type"/>
          </w:rPr>
          <w:t>Prémium Hibrid Garanciát</w:t>
        </w:r>
      </w:hyperlink>
      <w:r w:rsidR="00C6262A">
        <w:rPr>
          <w:rFonts w:ascii="Toyota Type" w:hAnsi="Toyota Type" w:cs="Toyota Type"/>
        </w:rPr>
        <w:t xml:space="preserve"> is kínál.</w:t>
      </w:r>
    </w:p>
    <w:p w14:paraId="71F2F6C7" w14:textId="77777777" w:rsidR="00F60A59" w:rsidRDefault="00F60A59" w:rsidP="00297BA8">
      <w:pPr>
        <w:spacing w:after="0" w:line="360" w:lineRule="auto"/>
        <w:jc w:val="both"/>
        <w:rPr>
          <w:rFonts w:ascii="Toyota Type" w:hAnsi="Toyota Type" w:cs="Toyota Type"/>
        </w:rPr>
      </w:pPr>
    </w:p>
    <w:sectPr w:rsidR="00F60A59" w:rsidSect="00297BA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738C" w14:textId="77777777" w:rsidR="007A79C7" w:rsidRDefault="007A79C7" w:rsidP="00797FDB">
      <w:pPr>
        <w:spacing w:after="0" w:line="240" w:lineRule="auto"/>
      </w:pPr>
      <w:r>
        <w:separator/>
      </w:r>
    </w:p>
  </w:endnote>
  <w:endnote w:type="continuationSeparator" w:id="0">
    <w:p w14:paraId="15B3276F" w14:textId="77777777" w:rsidR="007A79C7" w:rsidRDefault="007A79C7" w:rsidP="0079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20B0A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29A3" w14:textId="77777777" w:rsidR="00482ABB" w:rsidRPr="001633E0" w:rsidRDefault="00482ABB" w:rsidP="00482ABB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216B21CA" w14:textId="77777777" w:rsidR="00482ABB" w:rsidRPr="001633E0" w:rsidRDefault="00482ABB" w:rsidP="00482ABB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79BB6363" w14:textId="5439A693" w:rsidR="00F238BA" w:rsidRPr="00482ABB" w:rsidRDefault="00482ABB" w:rsidP="00482ABB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yperlink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yperlink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D1F1" w14:textId="77777777" w:rsidR="007A79C7" w:rsidRDefault="007A79C7" w:rsidP="00797FDB">
      <w:pPr>
        <w:spacing w:after="0" w:line="240" w:lineRule="auto"/>
      </w:pPr>
      <w:r>
        <w:separator/>
      </w:r>
    </w:p>
  </w:footnote>
  <w:footnote w:type="continuationSeparator" w:id="0">
    <w:p w14:paraId="54BE3524" w14:textId="77777777" w:rsidR="007A79C7" w:rsidRDefault="007A79C7" w:rsidP="0079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6544306"/>
  <w:p w14:paraId="0034D2B2" w14:textId="36CBB8DB" w:rsidR="00F238BA" w:rsidRPr="00F238BA" w:rsidRDefault="00F238BA" w:rsidP="00E203C5">
    <w:pPr>
      <w:pStyle w:val="Header"/>
      <w:tabs>
        <w:tab w:val="right" w:pos="9026"/>
      </w:tabs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AD12D1" wp14:editId="1AB7B7D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2" name="MSIPCM92ac46ceb037a37d257bb038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50E906" w14:textId="77777777" w:rsidR="00F238BA" w:rsidRPr="00687640" w:rsidRDefault="00F238BA" w:rsidP="00F238BA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  <w:r w:rsidRPr="00687640"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  <w:t xml:space="preserve">•• PROTECTED </w:t>
                          </w:r>
                          <w:proofErr w:type="spellStart"/>
                          <w:r w:rsidRPr="00687640">
                            <w:rPr>
                              <w:rFonts w:ascii="MS UI Gothic" w:eastAsia="MS UI Gothic" w:hAnsi="MS UI Gothic" w:hint="eastAsia"/>
                              <w:color w:val="000000"/>
                              <w:sz w:val="20"/>
                            </w:rPr>
                            <w:t>関係者外秘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D12D1" id="_x0000_t202" coordsize="21600,21600" o:spt="202" path="m,l,21600r21600,l21600,xe">
              <v:stroke joinstyle="miter"/>
              <v:path gradientshapeok="t" o:connecttype="rect"/>
            </v:shapetype>
            <v:shape id="MSIPCM92ac46ceb037a37d257bb038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850E906" w14:textId="77777777" w:rsidR="00F238BA" w:rsidRPr="00687640" w:rsidRDefault="00F238BA" w:rsidP="00F238BA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  <w:r w:rsidRPr="00687640"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  <w:t xml:space="preserve">•• PROTECTED </w:t>
                    </w:r>
                    <w:proofErr w:type="spellStart"/>
                    <w:r w:rsidRPr="00687640">
                      <w:rPr>
                        <w:rFonts w:ascii="MS UI Gothic" w:eastAsia="MS UI Gothic" w:hAnsi="MS UI Gothic" w:hint="eastAsia"/>
                        <w:color w:val="000000"/>
                        <w:sz w:val="20"/>
                      </w:rPr>
                      <w:t>関係者外秘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r w:rsidR="00E203C5">
      <w:rPr>
        <w:noProof/>
      </w:rPr>
      <w:drawing>
        <wp:anchor distT="0" distB="0" distL="114300" distR="114300" simplePos="0" relativeHeight="251663360" behindDoc="1" locked="0" layoutInCell="1" allowOverlap="1" wp14:anchorId="73F02D5E" wp14:editId="407F699F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3C5" w:rsidRPr="00EA3B73">
      <w:t xml:space="preserve"> </w:t>
    </w:r>
    <w:r w:rsidR="00E203C5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="00E203C5"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 w:rsidR="00E203C5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DB"/>
    <w:rsid w:val="00053FA5"/>
    <w:rsid w:val="00224BA6"/>
    <w:rsid w:val="00297BA8"/>
    <w:rsid w:val="002E7B44"/>
    <w:rsid w:val="002F47BB"/>
    <w:rsid w:val="003D51DE"/>
    <w:rsid w:val="004205A8"/>
    <w:rsid w:val="00482ABB"/>
    <w:rsid w:val="00505119"/>
    <w:rsid w:val="00510FE8"/>
    <w:rsid w:val="00554611"/>
    <w:rsid w:val="005779FE"/>
    <w:rsid w:val="005A754E"/>
    <w:rsid w:val="006A6B77"/>
    <w:rsid w:val="007008FC"/>
    <w:rsid w:val="00722FA1"/>
    <w:rsid w:val="00797FDB"/>
    <w:rsid w:val="007A79C7"/>
    <w:rsid w:val="00801A64"/>
    <w:rsid w:val="00854111"/>
    <w:rsid w:val="00890BA5"/>
    <w:rsid w:val="00905F3F"/>
    <w:rsid w:val="00906484"/>
    <w:rsid w:val="0094066A"/>
    <w:rsid w:val="00950343"/>
    <w:rsid w:val="00983BC5"/>
    <w:rsid w:val="00B20E6C"/>
    <w:rsid w:val="00B8320F"/>
    <w:rsid w:val="00BD5A75"/>
    <w:rsid w:val="00C11513"/>
    <w:rsid w:val="00C6262A"/>
    <w:rsid w:val="00CF3951"/>
    <w:rsid w:val="00D130FA"/>
    <w:rsid w:val="00D33F83"/>
    <w:rsid w:val="00D673E2"/>
    <w:rsid w:val="00E174C2"/>
    <w:rsid w:val="00E203C5"/>
    <w:rsid w:val="00ED2301"/>
    <w:rsid w:val="00F238BA"/>
    <w:rsid w:val="00F53A01"/>
    <w:rsid w:val="00F60A59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8A59A"/>
  <w15:chartTrackingRefBased/>
  <w15:docId w15:val="{6B1619BC-12F7-4147-A59C-65909B5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F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DB"/>
  </w:style>
  <w:style w:type="paragraph" w:styleId="Footer">
    <w:name w:val="footer"/>
    <w:basedOn w:val="Normal"/>
    <w:link w:val="FooterChar"/>
    <w:uiPriority w:val="99"/>
    <w:unhideWhenUsed/>
    <w:rsid w:val="0079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DB"/>
  </w:style>
  <w:style w:type="character" w:styleId="Hyperlink">
    <w:name w:val="Hyperlink"/>
    <w:basedOn w:val="DefaultParagraphFont"/>
    <w:uiPriority w:val="99"/>
    <w:unhideWhenUsed/>
    <w:rsid w:val="00482ABB"/>
    <w:rPr>
      <w:color w:val="0563C1" w:themeColor="hyperlink"/>
      <w:u w:val="single"/>
    </w:rPr>
  </w:style>
  <w:style w:type="paragraph" w:customStyle="1" w:styleId="Podstawowyakapit">
    <w:name w:val="[Podstawowy akapit]"/>
    <w:basedOn w:val="Normal"/>
    <w:uiPriority w:val="99"/>
    <w:rsid w:val="00482A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  <w:lang w:val="en-GB" w:eastAsia="pl-P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40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0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5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0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xus.hu/owners/warranty/hybrid-warran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xus.hu/owners/warranty/hybrid-warrant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2" ma:contentTypeDescription="Create a new document." ma:contentTypeScope="" ma:versionID="a9c3608135c2c68051fd1d4d63b7e3cc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9d669d220ce669c07ef3442c2ca60d08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Props1.xml><?xml version="1.0" encoding="utf-8"?>
<ds:datastoreItem xmlns:ds="http://schemas.openxmlformats.org/officeDocument/2006/customXml" ds:itemID="{80F3C70B-F4DB-4FA9-A35D-FC9B5A508082}"/>
</file>

<file path=customXml/itemProps2.xml><?xml version="1.0" encoding="utf-8"?>
<ds:datastoreItem xmlns:ds="http://schemas.openxmlformats.org/officeDocument/2006/customXml" ds:itemID="{AC81868B-0EE6-4F19-817A-EC5F9E76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D227D-9253-43C1-989D-27130F009165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Kenéz</dc:creator>
  <cp:keywords/>
  <dc:description/>
  <cp:lastModifiedBy>Lili Csorgo (TCE)</cp:lastModifiedBy>
  <cp:revision>36</cp:revision>
  <dcterms:created xsi:type="dcterms:W3CDTF">2023-08-21T09:06:00Z</dcterms:created>
  <dcterms:modified xsi:type="dcterms:W3CDTF">2023-10-20T13:23:00Z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2023-10-12T08:46:51Z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cf3ef9c1-f524-49cb-a561-8ce712815d55</vt:lpwstr>
  </property>
  <property fmtid="{D5CDD505-2E9C-101B-9397-08002B2CF9AE}" pid="8" name="MSIP_Label_d9544d3e-f761-46b2-881e-fd08f3b12f65_ContentBits">
    <vt:lpwstr>1</vt:lpwstr>
  </property>
  <property fmtid="{D5CDD505-2E9C-101B-9397-08002B2CF9AE}" pid="9" name="ContentTypeId">
    <vt:lpwstr>0x0101009745531A987E834E95FEB1A30FD2B816</vt:lpwstr>
  </property>
  <property fmtid="{D5CDD505-2E9C-101B-9397-08002B2CF9AE}" pid="10" name="MediaServiceImageTags">
    <vt:lpwstr/>
  </property>
</Properties>
</file>