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63A6A" w:rsidRDefault="00063A6A" w:rsidP="00063A6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AZ EURÓPAI PRÉMIUM </w:t>
      </w:r>
      <w:r w:rsidR="004C3B11">
        <w:rPr>
          <w:rFonts w:ascii="Arial" w:eastAsiaTheme="minorHAnsi" w:hAnsi="Arial" w:cs="Arial"/>
          <w:b/>
          <w:sz w:val="22"/>
          <w:szCs w:val="22"/>
          <w:lang w:val="hu-HU"/>
        </w:rPr>
        <w:t xml:space="preserve">CROSSOVER 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SZEGMENS ÚJ KEDVENCE LEHET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FRISSEN MEGÉRKEZETT</w:t>
      </w:r>
      <w:r w:rsidRPr="00063A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UX </w:t>
      </w:r>
    </w:p>
    <w:p w:rsidR="00063A6A" w:rsidRPr="00063A6A" w:rsidRDefault="00063A6A" w:rsidP="00063A6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63A6A" w:rsidRPr="00063A6A" w:rsidRDefault="00EB1CD9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Immár a hazai márkakereskedésekbe is megérkezett a m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>erész formaterv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ű vadonatúj Lexus UX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, amelyet a környezetbarát öntöltő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modelljeiről ismert márka nemes egyszerűséggel csak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’kreatív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nagyvárosi felfedezőként’ aposztrofál. A vadonatúj UX az első </w:t>
      </w:r>
      <w:proofErr w:type="gramStart"/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>modell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amelyet a Lexus legújabb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globális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GA-C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elnevezésű padlólemezére épített, és profitálhat az az által lehetővé tett ki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>magasló karosszériamerevség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ből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igazi agilitást lehetővé tévő 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>alacsony súlypont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ból. A sikervárományos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nem csupán a Lexus legújabb, negyedik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generációs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öntöltő hibrid elektromos hajtásláncát kapta meg, hanem az aktív biztonsági rendszerek és vezetéstámogató technológiák egyedülállóan széles tárházát csokorba fogó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második generáci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ós Lexus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Safety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System + csomagot is, amely </w:t>
      </w:r>
      <w:r w:rsidR="00063A6A" w:rsidRPr="00063A6A">
        <w:rPr>
          <w:rFonts w:ascii="Arial" w:eastAsiaTheme="minorHAnsi" w:hAnsi="Arial" w:cs="Arial"/>
          <w:b/>
          <w:sz w:val="22"/>
          <w:szCs w:val="22"/>
          <w:lang w:val="hu-HU"/>
        </w:rPr>
        <w:t>alapáras minden modellváltozatban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063A6A" w:rsidRPr="00F45859" w:rsidRDefault="00063A6A" w:rsidP="00063A6A">
      <w:pPr>
        <w:spacing w:after="0" w:line="276" w:lineRule="auto"/>
        <w:ind w:left="720" w:right="39"/>
        <w:rPr>
          <w:rFonts w:ascii="Nobel-Regular" w:eastAsia="Calibri" w:hAnsi="Nobel-Regular" w:cs="Nobel-Regular"/>
          <w:sz w:val="24"/>
        </w:rPr>
      </w:pPr>
    </w:p>
    <w:p w:rsidR="00063A6A" w:rsidRPr="00063A6A" w:rsidRDefault="00150192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napokban a magyarországi Lexus márkakereskedésekbe is megérkezett vadonatúj </w:t>
      </w:r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UX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 márkára jellemző </w:t>
      </w:r>
      <w:proofErr w:type="gramStart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>luxust</w:t>
      </w:r>
      <w:proofErr w:type="gramEnd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és biztonságot merész formaelemekkel és ultrahatékony új hajtásláncokkal kombinálja. Sok vásárló számára az UX nemcsak az első </w:t>
      </w:r>
      <w:proofErr w:type="spellStart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, de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az első luxusautót is jelenti majd. </w:t>
      </w:r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Az UX típusnév a tervezőcsapatot is irányító </w:t>
      </w:r>
      <w:proofErr w:type="gramStart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>koncepció</w:t>
      </w:r>
      <w:proofErr w:type="gramEnd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alapján született, összefoglalva a jármű küldetését: Urban + X-over (városi + </w:t>
      </w:r>
      <w:proofErr w:type="spellStart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>) = UX.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 Lexus UX a modern, városi felfedezők számára készült, friss, naprakész, dinamikus élményt kínál, </w:t>
      </w:r>
      <w:proofErr w:type="gramStart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="00063A6A"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életstílussal; ezek a vásárlók nemcsak valami újra és izgalmasra vágynak, hanem kifejezetten olyan autóra, ami jól illik az életstílusukhoz és a mindennapi igényeikhez is.”</w:t>
      </w:r>
    </w:p>
    <w:p w:rsidR="00063A6A" w:rsidRPr="00063A6A" w:rsidRDefault="00063A6A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Kellő dinamizmussal felruházva, az UX-et úgy terveztük meg, hogy kiváló teljesítményt nyújtson. Rendkívül gyors és vonzó, ugyanakkor a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jellemző kifinomultság teszi valóban egyedivé a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kompakt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szegmensében.</w:t>
      </w:r>
      <w:r w:rsidR="001501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Az UX az első Lexus, amely a márka vadonatúj, Global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Architecture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–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Compact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(GA-C) platformjára épül. A könnyű és rendkívül merev szerkezet, az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extrém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alacsony súlypont, valamint a magas szintű rugózási komfort egyedülálló kezelhetőséggel és menetkényelemmel ruházza fel, miközben kiemelkedő vezetési élményt is nyújt.</w:t>
      </w:r>
      <w:r w:rsidR="001501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Az UX két változatban érhető el: az UX 250h meghajtásáról olyan negyedik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hibrid hajtáslánc gondoskodik (kiváló hatásfokú 2,0 literes, négyhengeres benzinmotorral), amit </w:t>
      </w:r>
      <w:r w:rsidRPr="00063A6A">
        <w:rPr>
          <w:rFonts w:ascii="Arial" w:eastAsiaTheme="minorHAnsi" w:hAnsi="Arial" w:cs="Arial"/>
          <w:sz w:val="22"/>
          <w:szCs w:val="22"/>
          <w:lang w:val="hu-HU"/>
        </w:rPr>
        <w:lastRenderedPageBreak/>
        <w:t>kifejezetten erre a platformra terveztek, míg a bizonyos piacokon kapható UX 200 szintén 2,0 literes (majdnem ugyanolyan) benzinmotorral fut, amelynek kiváló a termikus hatásfoka.</w:t>
      </w:r>
    </w:p>
    <w:p w:rsidR="00063A6A" w:rsidRPr="00063A6A" w:rsidRDefault="00063A6A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63A6A" w:rsidRPr="00150192" w:rsidRDefault="00150192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50192">
        <w:rPr>
          <w:rFonts w:ascii="Arial" w:eastAsiaTheme="minorHAnsi" w:hAnsi="Arial" w:cs="Arial"/>
          <w:b/>
          <w:sz w:val="22"/>
          <w:szCs w:val="22"/>
          <w:lang w:val="hu-HU"/>
        </w:rPr>
        <w:t>Az európai igényeket figyelembe véve fejlesztették és itt is lehet legnépszerűbb a vadonatúj Lexus UX</w:t>
      </w:r>
    </w:p>
    <w:p w:rsidR="008B17AF" w:rsidRDefault="00063A6A" w:rsidP="00150192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Az európai piac nagyszerű lehetőségeket kínál az új Lexus UX számára, bár itt a vásárlók leginkább a hagyományos életstílushoz jobban illő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szedánokkal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, kombikkal és ferdehátúakkal társítják a prémium minőséget. A választék határozottan bővül a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/ SUV szegmensben, az UX azonban elkülönül a versenytársaktól, mert erős és dinamikus jelenség. Olyan stílusos modell, amelyik a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tiszta és hatékony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rendszerének minden technológiai előnyével bír. Az UX lényegében újfajta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, „városi felfedező”, amely új megvilágításba helyezi a luxusautó fogalmat. A már sikeres CT ferdehátúval együtt az UX a belépőt jelenti a Lexus világába, és kulcsfontosságú szerepet játszik abban is, hogy a vállalat 2020-ra elérje célját: az évi több mint 100.000 autó értékesítését Európában*. Ahogy csökken a dízelek piaci részesedése, úgy növekszik majd az önmagukat töltő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hibrideké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>, kaput nyitva az alternatív, elektromos hajtásláncok felé.</w:t>
      </w:r>
      <w:r w:rsidR="001501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Az UX széles körben elterjedhet Európában, ahol elsősorban olyan családok számára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ideális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, amelyeknek nemcsak a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rugalmassága fontos, de agilis, a ferdehátúakkal vetekedő, kiválóan uralható és manőverezhető autót szeretnének. E tekintetben az UX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ideális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partner mind a napi utazáshoz, mind pedig hosszabb kirándulásokhoz, amelyek során új helyeket fedezhetünk fel és új élményekkel gazdagodhatunk. Ugyanakkor az UX azoknak a pároknak is remek választás lehet, akik már útjukra engedték gyermeküket, gyermekeiket, és újra kettesben élnek, utazásaik során pedig gyakran összekapcsolják az üzletet a szabadidővel, a kikapcsolódással.</w:t>
      </w:r>
      <w:r w:rsidR="001501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A Lexus első </w:t>
      </w:r>
      <w:proofErr w:type="gramStart"/>
      <w:r w:rsidRPr="00063A6A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crossovere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csatlakozik a nagyobb NX és RX modellek alkotta, nagy teljesítményű, európai SUV és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kínálathoz, amely így immár teljesen lefedi a márka értékpalettáját, felsorakoztatva az alappilléreket: a merész formatervet, az üdítő teljesítményt, az ötletgazdag technológiát és a kiváló </w:t>
      </w:r>
      <w:proofErr w:type="spellStart"/>
      <w:r w:rsidRPr="00063A6A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063A6A">
        <w:rPr>
          <w:rFonts w:ascii="Arial" w:eastAsiaTheme="minorHAnsi" w:hAnsi="Arial" w:cs="Arial"/>
          <w:sz w:val="22"/>
          <w:szCs w:val="22"/>
          <w:lang w:val="hu-HU"/>
        </w:rPr>
        <w:t xml:space="preserve"> kézművességet.</w:t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79" w:rsidRDefault="009D5B79" w:rsidP="00566E8D">
      <w:pPr>
        <w:spacing w:after="0" w:line="240" w:lineRule="auto"/>
      </w:pPr>
      <w:r>
        <w:separator/>
      </w:r>
    </w:p>
  </w:endnote>
  <w:endnote w:type="continuationSeparator" w:id="0">
    <w:p w:rsidR="009D5B79" w:rsidRDefault="009D5B7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79" w:rsidRDefault="009D5B79" w:rsidP="00566E8D">
      <w:pPr>
        <w:spacing w:after="0" w:line="240" w:lineRule="auto"/>
      </w:pPr>
      <w:r>
        <w:separator/>
      </w:r>
    </w:p>
  </w:footnote>
  <w:footnote w:type="continuationSeparator" w:id="0">
    <w:p w:rsidR="009D5B79" w:rsidRDefault="009D5B7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6A82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9143-DD56-4FDB-B769-AE41B7F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2019-03-25T10:32:00Z</dcterms:created>
  <dcterms:modified xsi:type="dcterms:W3CDTF">2019-03-25T10:44:00Z</dcterms:modified>
</cp:coreProperties>
</file>