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762024" w:rsidRPr="00762024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1" w:name="_GoBack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REKORD ELSŐ FÉLÉVET ZÁRT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LEXUS</w:t>
      </w:r>
    </w:p>
    <w:bookmarkEnd w:id="1"/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világszerte 360.045 új autót értékesített 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2019-es év első hat hónapjában (január-június)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, ami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 10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%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százalékkal szárnyalja túl a tavalyi év azonos időszakának e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redményét (2018. január-június), és </w:t>
      </w:r>
      <w:proofErr w:type="gramStart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abszolút</w:t>
      </w:r>
      <w:proofErr w:type="gramEnd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, történelmi értékesítési rekordot jelent. A környezetbarát öntöltő </w:t>
      </w:r>
      <w:proofErr w:type="gramStart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hibrid</w:t>
      </w:r>
      <w:proofErr w:type="gramEnd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 elektromos modellek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 globális értékesítése 34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%-</w:t>
      </w:r>
      <w:proofErr w:type="spellStart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al</w:t>
      </w:r>
      <w:proofErr w:type="spellEnd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, 121.234 darabra nőtt, ami a teljes eladott mennyiség 37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%-át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százalékát teszi ki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 – európai </w:t>
      </w:r>
      <w:r w:rsidR="00A77952">
        <w:rPr>
          <w:rFonts w:ascii="Arial" w:eastAsiaTheme="minorHAnsi" w:hAnsi="Arial" w:cs="Arial"/>
          <w:b/>
          <w:sz w:val="22"/>
          <w:szCs w:val="22"/>
          <w:lang w:val="hu-HU"/>
        </w:rPr>
        <w:t>szinten ugyanakkor 9</w:t>
      </w:r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5%-</w:t>
      </w:r>
      <w:proofErr w:type="spellStart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os</w:t>
      </w:r>
      <w:proofErr w:type="spellEnd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, Magyarországon pedig 99%-</w:t>
      </w:r>
      <w:proofErr w:type="spellStart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>os</w:t>
      </w:r>
      <w:proofErr w:type="spellEnd"/>
      <w:r w:rsidRPr="00762024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hibridek aránya a Lexus eladásokban.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A 2019-es naptári év eddigi eladásai azt mutatják, hogy a vásárlók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a már eddig is sikeres Lexus modellek, különösen a RX és NX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, valamint az IS és LS luxuslimuzinok mellett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élénken érdeklődnek az új Lexus ES luxuslimuzin és az újonnan bevezetett L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exus UX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kompakt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>
        <w:rPr>
          <w:rFonts w:ascii="Arial" w:eastAsiaTheme="minorHAnsi" w:hAnsi="Arial" w:cs="Arial"/>
          <w:sz w:val="22"/>
          <w:szCs w:val="22"/>
          <w:lang w:val="hu-HU"/>
        </w:rPr>
        <w:t xml:space="preserve"> iránt. A számokból emellett kiviláglik az is, hogy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Kínában látványosan megerősödött a luxusautó-piac.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62024">
        <w:rPr>
          <w:rFonts w:ascii="Arial" w:eastAsiaTheme="minorHAnsi" w:hAnsi="Arial" w:cs="Arial"/>
          <w:i/>
          <w:sz w:val="22"/>
          <w:szCs w:val="22"/>
          <w:lang w:val="hu-HU"/>
        </w:rPr>
        <w:t xml:space="preserve">“Megtisztelő számunkra, hogy világszerte ennyi ember választotta a mi autóinkat. Idén az új Lexus RC F és a Lexus RX is megérkezik a márkakereskedésekbe, így a Lexus még inkább reflektorfénybe kerül majd. Mindeközben folyamatosan azon dolgozunk, hogy autóink továbbra is a lehető legmodernebb és </w:t>
      </w:r>
      <w:proofErr w:type="spellStart"/>
      <w:r w:rsidRPr="00762024">
        <w:rPr>
          <w:rFonts w:ascii="Arial" w:eastAsiaTheme="minorHAnsi" w:hAnsi="Arial" w:cs="Arial"/>
          <w:i/>
          <w:sz w:val="22"/>
          <w:szCs w:val="22"/>
          <w:lang w:val="hu-HU"/>
        </w:rPr>
        <w:t>legátgondoltabb</w:t>
      </w:r>
      <w:proofErr w:type="spellEnd"/>
      <w:r w:rsidRPr="00762024">
        <w:rPr>
          <w:rFonts w:ascii="Arial" w:eastAsiaTheme="minorHAnsi" w:hAnsi="Arial" w:cs="Arial"/>
          <w:i/>
          <w:sz w:val="22"/>
          <w:szCs w:val="22"/>
          <w:lang w:val="hu-HU"/>
        </w:rPr>
        <w:t xml:space="preserve"> járművek legyenek, amelyek gondos kézműves kidolgozással, a részletekre fordított legnagyobb figyelemmel készülnek. Autógyártóként is és </w:t>
      </w:r>
      <w:proofErr w:type="gramStart"/>
      <w:r w:rsidRPr="00762024">
        <w:rPr>
          <w:rFonts w:ascii="Arial" w:eastAsiaTheme="minorHAnsi" w:hAnsi="Arial" w:cs="Arial"/>
          <w:i/>
          <w:sz w:val="22"/>
          <w:szCs w:val="22"/>
          <w:lang w:val="hu-HU"/>
        </w:rPr>
        <w:t>luxus</w:t>
      </w:r>
      <w:proofErr w:type="gramEnd"/>
      <w:r w:rsidRPr="00762024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életstílus-márkaként is olyan élményeket szeretnénk kínálni, amelyek messze túlsz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árnyalják vásárlóink elvárásait.</w:t>
      </w:r>
      <w:r w:rsidRPr="00762024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proofErr w:type="spellStart"/>
      <w:r w:rsidRPr="00762024">
        <w:rPr>
          <w:rFonts w:ascii="Arial" w:eastAsiaTheme="minorHAnsi" w:hAnsi="Arial" w:cs="Arial"/>
          <w:sz w:val="22"/>
          <w:szCs w:val="22"/>
          <w:lang w:val="hu-HU"/>
        </w:rPr>
        <w:t>Yoshihiro</w:t>
      </w:r>
      <w:proofErr w:type="spell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62024">
        <w:rPr>
          <w:rFonts w:ascii="Arial" w:eastAsiaTheme="minorHAnsi" w:hAnsi="Arial" w:cs="Arial"/>
          <w:sz w:val="22"/>
          <w:szCs w:val="22"/>
          <w:lang w:val="hu-HU"/>
        </w:rPr>
        <w:t>Sawa</w:t>
      </w:r>
      <w:proofErr w:type="spell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, a Lexus </w:t>
      </w:r>
      <w:r>
        <w:rPr>
          <w:rFonts w:ascii="Arial" w:eastAsiaTheme="minorHAnsi" w:hAnsi="Arial" w:cs="Arial"/>
          <w:sz w:val="22"/>
          <w:szCs w:val="22"/>
          <w:lang w:val="hu-HU"/>
        </w:rPr>
        <w:t>világszintű elnöke.</w:t>
      </w:r>
    </w:p>
    <w:p w:rsidR="00A77952" w:rsidRDefault="00A77952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62024" w:rsidRPr="00A77952" w:rsidRDefault="00A77952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77952">
        <w:rPr>
          <w:rFonts w:ascii="Arial" w:eastAsiaTheme="minorHAnsi" w:hAnsi="Arial" w:cs="Arial"/>
          <w:b/>
          <w:sz w:val="22"/>
          <w:szCs w:val="22"/>
          <w:lang w:val="hu-HU"/>
        </w:rPr>
        <w:t>Szárnyaló európai eladások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62024">
        <w:rPr>
          <w:rFonts w:ascii="Arial" w:eastAsiaTheme="minorHAnsi" w:hAnsi="Arial" w:cs="Arial"/>
          <w:sz w:val="22"/>
          <w:szCs w:val="22"/>
          <w:lang w:val="hu-HU"/>
        </w:rPr>
        <w:t>A Lexus 2019 első félévében is egyre növekvő iramot diktált az európai piacon. Annak ellenére, hogy a prémium szegmens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 eladásai némileg (2%-</w:t>
      </w:r>
      <w:proofErr w:type="spellStart"/>
      <w:r w:rsidR="00A77952">
        <w:rPr>
          <w:rFonts w:ascii="Arial" w:eastAsiaTheme="minorHAnsi" w:hAnsi="Arial" w:cs="Arial"/>
          <w:sz w:val="22"/>
          <w:szCs w:val="22"/>
          <w:lang w:val="hu-HU"/>
        </w:rPr>
        <w:t>al</w:t>
      </w:r>
      <w:proofErr w:type="spellEnd"/>
      <w:r w:rsidRPr="00762024">
        <w:rPr>
          <w:rFonts w:ascii="Arial" w:eastAsiaTheme="minorHAnsi" w:hAnsi="Arial" w:cs="Arial"/>
          <w:sz w:val="22"/>
          <w:szCs w:val="22"/>
          <w:lang w:val="hu-HU"/>
        </w:rPr>
        <w:t>) csökkentek, a Lexus érté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kesítési eredménye 5%-</w:t>
      </w:r>
      <w:proofErr w:type="spellStart"/>
      <w:r w:rsidR="00A77952">
        <w:rPr>
          <w:rFonts w:ascii="Arial" w:eastAsiaTheme="minorHAnsi" w:hAnsi="Arial" w:cs="Arial"/>
          <w:sz w:val="22"/>
          <w:szCs w:val="22"/>
          <w:lang w:val="hu-HU"/>
        </w:rPr>
        <w:t>al</w:t>
      </w:r>
      <w:proofErr w:type="spellEnd"/>
      <w:r w:rsidRPr="00762024">
        <w:rPr>
          <w:rFonts w:ascii="Arial" w:eastAsiaTheme="minorHAnsi" w:hAnsi="Arial" w:cs="Arial"/>
          <w:sz w:val="22"/>
          <w:szCs w:val="22"/>
          <w:lang w:val="hu-HU"/>
        </w:rPr>
        <w:t>, 40.450 darabra nőtt. Több fontos piacon is sikerült jelentős növekedést elérni, például Olaszo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rszágban (+51%), Németországban (+33%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)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, Spanyolországban (+19%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)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, Lengyelországban (+13%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)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, Franciaországban (+12%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) és az Eg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yesült Királyságban (+8%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).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E fellendülés hajtóereje elsősorban 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két vadonatúj 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 Lexus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modell, az UX </w:t>
      </w: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>kompakt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62024"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és az ES luxuslimuzin volt. Az értékesítés első 5 hónapjában máris 8532 darab UX talált gazdára, ami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azt jelenti, hogy a piac kiválóan fogadta a Lexus első modelljét a gyorsan gyarapodó prémium </w:t>
      </w: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>kompakt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62024"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szegmensben.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A legnagyobb mérvű növekedést az ES </w:t>
      </w: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>produkálta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(+387 százalék, 3012 eladott autó), miután az új generációs modell az egész európai piacon megjelent 2018 végén.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A Lexus összesen 28.006 darab öntöltő </w:t>
      </w: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>hibridet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adott el Euró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pában 2019 első félévében (+17%)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a 2018. j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anuár-júniusi időszakhoz képest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, így a márka továbbra is az autók villamosításának éllovasának számít. A Nyugat- és Közép-Európa ország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>aiban eladott Lexus modellek 95%-</w:t>
      </w:r>
      <w:proofErr w:type="gramStart"/>
      <w:r w:rsidR="00A77952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>öntöltő hibrid hajtású volt.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62024" w:rsidRPr="00A77952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A77952">
        <w:rPr>
          <w:rFonts w:ascii="Arial" w:eastAsiaTheme="minorHAnsi" w:hAnsi="Arial" w:cs="Arial"/>
          <w:b/>
          <w:sz w:val="22"/>
          <w:szCs w:val="22"/>
          <w:lang w:val="hu-HU"/>
        </w:rPr>
        <w:t>A 2019-es naptári év eddigi értékesítési eredménye régiónként: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Észak-Amerika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ab/>
        <w:t>: 149 ezer db (+1% a tavalyi évhez képest)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62024">
        <w:rPr>
          <w:rFonts w:ascii="Arial" w:eastAsiaTheme="minorHAnsi" w:hAnsi="Arial" w:cs="Arial"/>
          <w:sz w:val="22"/>
          <w:szCs w:val="22"/>
          <w:lang w:val="hu-HU"/>
        </w:rPr>
        <w:t>Kína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 (és Hongkong)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ab/>
        <w:t>: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A77952">
        <w:rPr>
          <w:rFonts w:ascii="Arial" w:eastAsiaTheme="minorHAnsi" w:hAnsi="Arial" w:cs="Arial"/>
          <w:sz w:val="22"/>
          <w:szCs w:val="22"/>
          <w:lang w:val="hu-HU"/>
        </w:rPr>
        <w:t xml:space="preserve">95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ezer db (+36% a tavalyi évhez képest) 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Európa                 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ab/>
        <w:t>: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40 ezer db (+5% a tavalyi évhez képest)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Japán                     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ab/>
        <w:t>: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32 ezer db (-4% a tavalyi évhez képest)  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Közel-Kelet         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ab/>
        <w:t>: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16 ezer db (+9% a tavalyi évhez képest)</w:t>
      </w:r>
    </w:p>
    <w:p w:rsidR="00762024" w:rsidRPr="00762024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Távol-Kelet                </w:t>
      </w:r>
      <w:r w:rsidRPr="00762024">
        <w:rPr>
          <w:rFonts w:ascii="Arial" w:eastAsiaTheme="minorHAnsi" w:hAnsi="Arial" w:cs="Arial"/>
          <w:sz w:val="22"/>
          <w:szCs w:val="22"/>
          <w:lang w:val="hu-HU"/>
        </w:rPr>
        <w:tab/>
        <w:t>:</w:t>
      </w:r>
      <w:proofErr w:type="gramEnd"/>
      <w:r w:rsidRPr="00762024">
        <w:rPr>
          <w:rFonts w:ascii="Arial" w:eastAsiaTheme="minorHAnsi" w:hAnsi="Arial" w:cs="Arial"/>
          <w:sz w:val="22"/>
          <w:szCs w:val="22"/>
          <w:lang w:val="hu-HU"/>
        </w:rPr>
        <w:t xml:space="preserve"> 18 ezer db (+17% a tavalyi évhez képest)</w:t>
      </w:r>
    </w:p>
    <w:p w:rsidR="00762024" w:rsidRPr="00762024" w:rsidRDefault="00762024" w:rsidP="00A77952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</w:p>
    <w:p w:rsidR="00762024" w:rsidRPr="00762024" w:rsidRDefault="00762024" w:rsidP="00A77952">
      <w:pPr>
        <w:pStyle w:val="PlainText"/>
        <w:spacing w:line="360" w:lineRule="auto"/>
        <w:jc w:val="center"/>
        <w:rPr>
          <w:rFonts w:ascii="Arial" w:eastAsiaTheme="minorHAnsi" w:hAnsi="Arial" w:cs="Arial"/>
          <w:sz w:val="22"/>
          <w:szCs w:val="22"/>
          <w:lang w:val="hu-HU"/>
        </w:rPr>
      </w:pPr>
      <w:r w:rsidRPr="00762024">
        <w:rPr>
          <w:rFonts w:ascii="Arial" w:eastAsiaTheme="minorHAnsi" w:hAnsi="Arial" w:cs="Arial"/>
          <w:sz w:val="22"/>
          <w:szCs w:val="22"/>
          <w:lang w:val="hu-HU"/>
        </w:rPr>
        <w:t># # #</w:t>
      </w:r>
    </w:p>
    <w:p w:rsidR="00762024" w:rsidRPr="00A77952" w:rsidRDefault="00A77952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18"/>
          <w:szCs w:val="18"/>
          <w:lang w:val="hu-HU"/>
        </w:rPr>
      </w:pPr>
      <w:r w:rsidRPr="00A77952">
        <w:rPr>
          <w:rFonts w:ascii="Arial" w:eastAsiaTheme="minorHAnsi" w:hAnsi="Arial" w:cs="Arial"/>
          <w:b/>
          <w:sz w:val="18"/>
          <w:szCs w:val="18"/>
          <w:lang w:val="hu-HU"/>
        </w:rPr>
        <w:t>A Lexus</w:t>
      </w:r>
    </w:p>
    <w:p w:rsidR="00762024" w:rsidRPr="00A77952" w:rsidRDefault="00762024" w:rsidP="00762024">
      <w:pPr>
        <w:pStyle w:val="PlainText"/>
        <w:spacing w:line="360" w:lineRule="auto"/>
        <w:jc w:val="both"/>
        <w:rPr>
          <w:rFonts w:ascii="Arial" w:eastAsiaTheme="minorHAnsi" w:hAnsi="Arial" w:cs="Arial"/>
          <w:sz w:val="18"/>
          <w:szCs w:val="18"/>
          <w:lang w:val="hu-HU"/>
        </w:rPr>
      </w:pPr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Az 1989-ben színre lépő Lexus egy </w:t>
      </w:r>
      <w:proofErr w:type="gramStart"/>
      <w:r w:rsidRPr="00A77952">
        <w:rPr>
          <w:rFonts w:ascii="Arial" w:eastAsiaTheme="minorHAnsi" w:hAnsi="Arial" w:cs="Arial"/>
          <w:sz w:val="18"/>
          <w:szCs w:val="18"/>
          <w:lang w:val="hu-HU"/>
        </w:rPr>
        <w:t>globális</w:t>
      </w:r>
      <w:proofErr w:type="gramEnd"/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 életstílus-márka, amely a prémium járművek teljes skáláját kínálja, köztük az LS, ES és IS </w:t>
      </w:r>
      <w:proofErr w:type="spellStart"/>
      <w:r w:rsidRPr="00A77952">
        <w:rPr>
          <w:rFonts w:ascii="Arial" w:eastAsiaTheme="minorHAnsi" w:hAnsi="Arial" w:cs="Arial"/>
          <w:sz w:val="18"/>
          <w:szCs w:val="18"/>
          <w:lang w:val="hu-HU"/>
        </w:rPr>
        <w:t>szedánokat</w:t>
      </w:r>
      <w:proofErr w:type="spellEnd"/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, az CT ferdehátút, az LC és RC kupékat, az UX </w:t>
      </w:r>
      <w:proofErr w:type="spellStart"/>
      <w:r w:rsidRPr="00A77952">
        <w:rPr>
          <w:rFonts w:ascii="Arial" w:eastAsiaTheme="minorHAnsi" w:hAnsi="Arial" w:cs="Arial"/>
          <w:sz w:val="18"/>
          <w:szCs w:val="18"/>
          <w:lang w:val="hu-HU"/>
        </w:rPr>
        <w:t>crossovert</w:t>
      </w:r>
      <w:proofErr w:type="spellEnd"/>
      <w:r w:rsidRPr="00A77952">
        <w:rPr>
          <w:rFonts w:ascii="Arial" w:eastAsiaTheme="minorHAnsi" w:hAnsi="Arial" w:cs="Arial"/>
          <w:sz w:val="18"/>
          <w:szCs w:val="18"/>
          <w:lang w:val="hu-HU"/>
        </w:rPr>
        <w:t>, valamint az NX, RX, GS és LX SUV-modelleket. A merész formaterveiről, kimagasló kidolgozási minőségéről és kifinomult technológiáiról közismert Lexus a személyre szabott szolgáltatások különleges szintjét kínálja, hogy lenyűgöző élményeket teremtsen ügyfelei számára.</w:t>
      </w:r>
      <w:r w:rsidR="00A77952"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Eddig több mint 1,5 millió öntöltő </w:t>
      </w:r>
      <w:proofErr w:type="gramStart"/>
      <w:r w:rsidRPr="00A77952">
        <w:rPr>
          <w:rFonts w:ascii="Arial" w:eastAsiaTheme="minorHAnsi" w:hAnsi="Arial" w:cs="Arial"/>
          <w:sz w:val="18"/>
          <w:szCs w:val="18"/>
          <w:lang w:val="hu-HU"/>
        </w:rPr>
        <w:t>hibrid</w:t>
      </w:r>
      <w:proofErr w:type="gramEnd"/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r w:rsidR="00A77952"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elektromos </w:t>
      </w:r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Lexus kelt el világszerte, így a márka diktálja a tempót a prémium piac modelljeinek villamosítása terén. Európában a Lexus összesen 76.188 autót értékesített 2018-ban, immár öt éve folyamatosan növelve eladásait a régióban. A Lexus tervei szerint 2020-ra ez a mennyiség 100.000 darabra nő majd, amiben komoly szerepet játszhat az UX </w:t>
      </w:r>
      <w:proofErr w:type="gramStart"/>
      <w:r w:rsidRPr="00A77952">
        <w:rPr>
          <w:rFonts w:ascii="Arial" w:eastAsiaTheme="minorHAnsi" w:hAnsi="Arial" w:cs="Arial"/>
          <w:sz w:val="18"/>
          <w:szCs w:val="18"/>
          <w:lang w:val="hu-HU"/>
        </w:rPr>
        <w:t>kompakt</w:t>
      </w:r>
      <w:proofErr w:type="gramEnd"/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 </w:t>
      </w:r>
      <w:proofErr w:type="spellStart"/>
      <w:r w:rsidRPr="00A77952">
        <w:rPr>
          <w:rFonts w:ascii="Arial" w:eastAsiaTheme="minorHAnsi" w:hAnsi="Arial" w:cs="Arial"/>
          <w:sz w:val="18"/>
          <w:szCs w:val="18"/>
          <w:lang w:val="hu-HU"/>
        </w:rPr>
        <w:t>crossover</w:t>
      </w:r>
      <w:proofErr w:type="spellEnd"/>
      <w:r w:rsidRPr="00A77952">
        <w:rPr>
          <w:rFonts w:ascii="Arial" w:eastAsiaTheme="minorHAnsi" w:hAnsi="Arial" w:cs="Arial"/>
          <w:sz w:val="18"/>
          <w:szCs w:val="18"/>
          <w:lang w:val="hu-HU"/>
        </w:rPr>
        <w:t xml:space="preserve"> és az ES felsővezetői limuzin nemrégiben történt bemutatása is. Világszinten a Lexus mintegy 700.000 autót értékesített a 2018-as évben, amivel a világ negyedik legnagyobb luxusautó-gyártójának számít.</w:t>
      </w:r>
    </w:p>
    <w:p w:rsidR="00A77952" w:rsidRDefault="00A77952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A77952" w:rsidRDefault="00A77952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 xml:space="preserve">További </w:t>
      </w:r>
      <w:proofErr w:type="gramStart"/>
      <w:r w:rsidRPr="009C117C">
        <w:rPr>
          <w:rFonts w:ascii="Arial" w:hAnsi="Arial" w:cs="Arial"/>
          <w:b/>
          <w:sz w:val="20"/>
          <w:szCs w:val="20"/>
          <w:lang w:val="hu-HU"/>
        </w:rPr>
        <w:t>információ</w:t>
      </w:r>
      <w:proofErr w:type="gramEnd"/>
      <w:r w:rsidRPr="009C117C">
        <w:rPr>
          <w:rFonts w:ascii="Arial" w:hAnsi="Arial" w:cs="Arial"/>
          <w:b/>
          <w:sz w:val="20"/>
          <w:szCs w:val="20"/>
          <w:lang w:val="hu-HU"/>
        </w:rPr>
        <w:t>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DB3C8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82" w:rsidRDefault="00F41882" w:rsidP="00566E8D">
      <w:pPr>
        <w:spacing w:after="0" w:line="240" w:lineRule="auto"/>
      </w:pPr>
      <w:r>
        <w:separator/>
      </w:r>
    </w:p>
  </w:endnote>
  <w:endnote w:type="continuationSeparator" w:id="0">
    <w:p w:rsidR="00F41882" w:rsidRDefault="00F41882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</w:t>
    </w:r>
    <w:proofErr w:type="gramStart"/>
    <w:r w:rsidRPr="00DD4340">
      <w:rPr>
        <w:rFonts w:ascii="Arial" w:hAnsi="Arial" w:cs="Arial"/>
        <w:sz w:val="14"/>
        <w:szCs w:val="14"/>
        <w:lang w:val="hu-HU"/>
      </w:rPr>
      <w:t>aktualitások</w:t>
    </w:r>
    <w:proofErr w:type="gramEnd"/>
    <w:r w:rsidRPr="00DD4340">
      <w:rPr>
        <w:rFonts w:ascii="Arial" w:hAnsi="Arial" w:cs="Arial"/>
        <w:sz w:val="14"/>
        <w:szCs w:val="14"/>
        <w:lang w:val="hu-HU"/>
      </w:rPr>
      <w:t xml:space="preserve">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82" w:rsidRDefault="00F41882" w:rsidP="00566E8D">
      <w:pPr>
        <w:spacing w:after="0" w:line="240" w:lineRule="auto"/>
      </w:pPr>
      <w:r>
        <w:separator/>
      </w:r>
    </w:p>
  </w:footnote>
  <w:footnote w:type="continuationSeparator" w:id="0">
    <w:p w:rsidR="00F41882" w:rsidRDefault="00F41882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1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5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1"/>
  </w:num>
  <w:num w:numId="5">
    <w:abstractNumId w:val="10"/>
  </w:num>
  <w:num w:numId="6">
    <w:abstractNumId w:val="8"/>
  </w:num>
  <w:num w:numId="7">
    <w:abstractNumId w:val="12"/>
  </w:num>
  <w:num w:numId="8">
    <w:abstractNumId w:val="16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11"/>
  </w:num>
  <w:num w:numId="14">
    <w:abstractNumId w:val="18"/>
  </w:num>
  <w:num w:numId="15">
    <w:abstractNumId w:val="17"/>
  </w:num>
  <w:num w:numId="16">
    <w:abstractNumId w:val="7"/>
  </w:num>
  <w:num w:numId="17">
    <w:abstractNumId w:val="6"/>
  </w:num>
  <w:num w:numId="18">
    <w:abstractNumId w:val="5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0935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36BB"/>
    <w:rsid w:val="00F137F2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E7951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479DC-D256-4310-8967-3BC83EBD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2</cp:revision>
  <dcterms:created xsi:type="dcterms:W3CDTF">2019-08-08T08:16:00Z</dcterms:created>
  <dcterms:modified xsi:type="dcterms:W3CDTF">2019-08-08T08:16:00Z</dcterms:modified>
</cp:coreProperties>
</file>