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28" w:rsidRPr="00F54E28" w:rsidRDefault="00F54E28" w:rsidP="00F54E28">
      <w:pPr>
        <w:rPr>
          <w:lang w:val="hu-HU" w:eastAsia="hu-HU"/>
        </w:rPr>
      </w:pPr>
    </w:p>
    <w:p w:rsidR="000D24D2" w:rsidRPr="000D24D2" w:rsidRDefault="000D24D2" w:rsidP="000D24D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0D24D2">
        <w:rPr>
          <w:rFonts w:ascii="Arial" w:hAnsi="Arial" w:cs="Arial"/>
          <w:b/>
          <w:caps/>
          <w:sz w:val="24"/>
          <w:szCs w:val="24"/>
          <w:lang w:val="hu-HU"/>
        </w:rPr>
        <w:t>A LEXUS LC YELLOW EDITION</w:t>
      </w:r>
      <w:r w:rsidR="004B36AB">
        <w:rPr>
          <w:rFonts w:ascii="Arial" w:hAnsi="Arial" w:cs="Arial"/>
          <w:b/>
          <w:caps/>
          <w:sz w:val="24"/>
          <w:szCs w:val="24"/>
          <w:lang w:val="hu-HU"/>
        </w:rPr>
        <w:t>: LIMITÁLT SZÉRIÁS FENEVAD</w:t>
      </w:r>
    </w:p>
    <w:p w:rsidR="004B36AB" w:rsidRDefault="004B36AB" w:rsidP="000D24D2">
      <w:pPr>
        <w:spacing w:after="0" w:line="360" w:lineRule="auto"/>
        <w:jc w:val="both"/>
        <w:rPr>
          <w:rFonts w:ascii="Tahoma" w:hAnsi="Tahoma" w:cs="Tahoma"/>
          <w:sz w:val="24"/>
          <w:szCs w:val="24"/>
          <w:lang w:val="hu-HU"/>
        </w:rPr>
      </w:pPr>
    </w:p>
    <w:p w:rsidR="000D24D2" w:rsidRPr="000D24D2" w:rsidRDefault="000D24D2" w:rsidP="000D24D2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D24D2">
        <w:rPr>
          <w:rFonts w:ascii="Arial" w:eastAsia="Times New Roman" w:hAnsi="Arial" w:cs="Arial"/>
          <w:b/>
          <w:lang w:val="hu-HU" w:eastAsia="hu-HU"/>
        </w:rPr>
        <w:t xml:space="preserve"> A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 világ vezető környezetbarát hibrid elektromos prémium gyártója, a Lexus </w:t>
      </w:r>
      <w:r w:rsidRPr="000D24D2">
        <w:rPr>
          <w:rFonts w:ascii="Arial" w:eastAsia="Times New Roman" w:hAnsi="Arial" w:cs="Arial"/>
          <w:b/>
          <w:lang w:val="hu-HU" w:eastAsia="hu-HU"/>
        </w:rPr>
        <w:t>Yellow Edition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 néven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 új exkluzív </w:t>
      </w:r>
      <w:r w:rsidR="004B36AB">
        <w:rPr>
          <w:rFonts w:ascii="Arial" w:eastAsia="Times New Roman" w:hAnsi="Arial" w:cs="Arial"/>
          <w:b/>
          <w:lang w:val="hu-HU" w:eastAsia="hu-HU"/>
        </w:rPr>
        <w:t>változattal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 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rukkolt elő 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a 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hibrid és V8-as benzines változatban is elérhető </w:t>
      </w:r>
      <w:r w:rsidRPr="000D24D2">
        <w:rPr>
          <w:rFonts w:ascii="Arial" w:eastAsia="Times New Roman" w:hAnsi="Arial" w:cs="Arial"/>
          <w:b/>
          <w:lang w:val="hu-HU" w:eastAsia="hu-HU"/>
        </w:rPr>
        <w:t>LC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 szupersport kupéból, </w:t>
      </w:r>
      <w:r w:rsidR="004B36AB" w:rsidRPr="000D24D2">
        <w:rPr>
          <w:rFonts w:ascii="Arial" w:eastAsia="Times New Roman" w:hAnsi="Arial" w:cs="Arial"/>
          <w:b/>
          <w:lang w:val="hu-HU" w:eastAsia="hu-HU"/>
        </w:rPr>
        <w:t>a márka egyik legfényesebb ékkövé</w:t>
      </w:r>
      <w:r w:rsidR="004B36AB">
        <w:rPr>
          <w:rFonts w:ascii="Arial" w:eastAsia="Times New Roman" w:hAnsi="Arial" w:cs="Arial"/>
          <w:b/>
          <w:lang w:val="hu-HU" w:eastAsia="hu-HU"/>
        </w:rPr>
        <w:t>ből. Az é</w:t>
      </w:r>
      <w:r w:rsidRPr="000D24D2">
        <w:rPr>
          <w:rFonts w:ascii="Arial" w:eastAsia="Times New Roman" w:hAnsi="Arial" w:cs="Arial"/>
          <w:b/>
          <w:lang w:val="hu-HU" w:eastAsia="hu-HU"/>
        </w:rPr>
        <w:t>lénk</w:t>
      </w:r>
      <w:r w:rsidR="004B36AB">
        <w:rPr>
          <w:rFonts w:ascii="Arial" w:eastAsia="Times New Roman" w:hAnsi="Arial" w:cs="Arial"/>
          <w:b/>
          <w:lang w:val="hu-HU" w:eastAsia="hu-HU"/>
        </w:rPr>
        <w:t>,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 szemkápráztató sárga külső fényezés</w:t>
      </w:r>
      <w:r w:rsidR="004B36AB">
        <w:rPr>
          <w:rFonts w:ascii="Arial" w:eastAsia="Times New Roman" w:hAnsi="Arial" w:cs="Arial"/>
          <w:b/>
          <w:lang w:val="hu-HU" w:eastAsia="hu-HU"/>
        </w:rPr>
        <w:t>re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 egyedi belső hangulatok 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felelnek, </w:t>
      </w:r>
      <w:r w:rsidRPr="000D24D2">
        <w:rPr>
          <w:rFonts w:ascii="Arial" w:eastAsia="Times New Roman" w:hAnsi="Arial" w:cs="Arial"/>
          <w:b/>
          <w:lang w:val="hu-HU" w:eastAsia="hu-HU"/>
        </w:rPr>
        <w:t xml:space="preserve">fekete, fehér és meleg sárga színekben, </w:t>
      </w:r>
      <w:r w:rsidR="004B36AB">
        <w:rPr>
          <w:rFonts w:ascii="Arial" w:eastAsia="Times New Roman" w:hAnsi="Arial" w:cs="Arial"/>
          <w:b/>
          <w:lang w:val="hu-HU" w:eastAsia="hu-HU"/>
        </w:rPr>
        <w:t xml:space="preserve">miközben </w:t>
      </w:r>
      <w:r w:rsidRPr="000D24D2">
        <w:rPr>
          <w:rFonts w:ascii="Arial" w:eastAsia="Times New Roman" w:hAnsi="Arial" w:cs="Arial"/>
          <w:b/>
          <w:lang w:val="hu-HU" w:eastAsia="hu-HU"/>
        </w:rPr>
        <w:t>az utastéri anyagok között az olyan kiváló minőségű anyagok találhatók meg, mint a fél anilin bőr és az Alcantara. A Sport+ felszereltség tartalmazza a Lexus Dynamic Handling (LDH) rendszert négykerék-kormányzással, a Torsen-rendszerű differenciálművet, a 21 colos kovácsolt vas könnyűfém keréktárcsákat, valamint a szénszálból készült tetőt és aktív hátsó szpojlert. Az utastérben olyan egyedi extrákat találunk, mint a head-up display (HUD), az Alcantara tetőkárpit, és a 10 irányban állítható elektromos első ülések félanilin bőrkárpitozással.</w:t>
      </w:r>
    </w:p>
    <w:p w:rsidR="000D24D2" w:rsidRPr="00E44076" w:rsidRDefault="000D24D2" w:rsidP="000D24D2">
      <w:pPr>
        <w:spacing w:line="240" w:lineRule="auto"/>
        <w:rPr>
          <w:rFonts w:ascii="Tahoma" w:hAnsi="Tahoma" w:cs="Tahoma"/>
          <w:sz w:val="24"/>
          <w:szCs w:val="24"/>
          <w:lang w:val="hu-HU"/>
        </w:rPr>
      </w:pPr>
    </w:p>
    <w:p w:rsidR="000D24D2" w:rsidRPr="000D24D2" w:rsidRDefault="000D24D2" w:rsidP="000D24D2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D24D2">
        <w:rPr>
          <w:rFonts w:ascii="Arial" w:eastAsia="Times New Roman" w:hAnsi="Arial" w:cs="Arial"/>
          <w:lang w:val="hu-HU" w:eastAsia="hu-HU"/>
        </w:rPr>
        <w:t xml:space="preserve">A </w:t>
      </w:r>
      <w:hyperlink r:id="rId8" w:history="1">
        <w:r w:rsidRPr="00F91BF8">
          <w:rPr>
            <w:rStyle w:val="Hipercze"/>
            <w:rFonts w:ascii="Arial" w:eastAsia="Times New Roman" w:hAnsi="Arial" w:cs="Arial"/>
            <w:lang w:val="hu-HU" w:eastAsia="hu-HU"/>
          </w:rPr>
          <w:t>Lexus</w:t>
        </w:r>
      </w:hyperlink>
      <w:r w:rsidRPr="000D24D2">
        <w:rPr>
          <w:rFonts w:ascii="Arial" w:eastAsia="Times New Roman" w:hAnsi="Arial" w:cs="Arial"/>
          <w:lang w:val="hu-HU" w:eastAsia="hu-HU"/>
        </w:rPr>
        <w:t xml:space="preserve"> bemutatja a kategória zászlóshajója, a</w:t>
      </w:r>
      <w:r w:rsidR="00F91BF8">
        <w:rPr>
          <w:rFonts w:ascii="Arial" w:eastAsia="Times New Roman" w:hAnsi="Arial" w:cs="Arial"/>
          <w:lang w:val="hu-HU" w:eastAsia="hu-HU"/>
        </w:rPr>
        <w:t xml:space="preserve"> minden még a legoptimistább előzetes várakozásokat is túlszárnyalóan népszerű</w:t>
      </w:r>
      <w:r w:rsidRPr="000D24D2">
        <w:rPr>
          <w:rFonts w:ascii="Arial" w:eastAsia="Times New Roman" w:hAnsi="Arial" w:cs="Arial"/>
          <w:lang w:val="hu-HU" w:eastAsia="hu-HU"/>
        </w:rPr>
        <w:t xml:space="preserve"> </w:t>
      </w:r>
      <w:hyperlink r:id="rId9" w:anchor="hero" w:history="1">
        <w:r w:rsidRPr="00F91BF8">
          <w:rPr>
            <w:rStyle w:val="Hipercze"/>
            <w:rFonts w:ascii="Arial" w:eastAsia="Times New Roman" w:hAnsi="Arial" w:cs="Arial"/>
            <w:lang w:val="hu-HU" w:eastAsia="hu-HU"/>
          </w:rPr>
          <w:t>LC kupé</w:t>
        </w:r>
      </w:hyperlink>
      <w:r w:rsidRPr="000D24D2">
        <w:rPr>
          <w:rFonts w:ascii="Arial" w:eastAsia="Times New Roman" w:hAnsi="Arial" w:cs="Arial"/>
          <w:lang w:val="hu-HU" w:eastAsia="hu-HU"/>
        </w:rPr>
        <w:t xml:space="preserve"> legújabb változatát</w:t>
      </w:r>
      <w:r w:rsidR="00F91BF8">
        <w:rPr>
          <w:rFonts w:ascii="Arial" w:eastAsia="Times New Roman" w:hAnsi="Arial" w:cs="Arial"/>
          <w:lang w:val="hu-HU" w:eastAsia="hu-HU"/>
        </w:rPr>
        <w:t>,</w:t>
      </w:r>
      <w:r w:rsidRPr="000D24D2">
        <w:rPr>
          <w:rFonts w:ascii="Arial" w:eastAsia="Times New Roman" w:hAnsi="Arial" w:cs="Arial"/>
          <w:lang w:val="hu-HU" w:eastAsia="hu-HU"/>
        </w:rPr>
        <w:t xml:space="preserve"> az LC Yellow Editiont. A névhez igazodva élénksárga fényezést kapott a Lexus többszörösen díjnyertes luxuskupéjának új változata. Az így kapott eredmény szemkápráztató. Az egyedi külső fényezés hangulata természetesen az utastérben is folytatódik, ahol a fekete ajtóelemeket sárga Alcantara betétek díszítik, míg a takumi mesterekre jellemző alapossággal készített sárga árnyalatú varratok a fehér bőrüléseken a műszerfal szélein, a kormánykeréken és a középső könyöklőn is megtalálhatók. Az utastérben ezenfelül olyan egyedi extrákat találunk, mint a head-up display (HUD), az Alcantara borítású tetőkárpit, és a 10 irányban állítható elektromos első ülések félanilin bőrkárpitozással.</w:t>
      </w:r>
      <w:r w:rsidR="00F91BF8">
        <w:rPr>
          <w:rFonts w:ascii="Arial" w:eastAsia="Times New Roman" w:hAnsi="Arial" w:cs="Arial"/>
          <w:lang w:val="hu-HU" w:eastAsia="hu-HU"/>
        </w:rPr>
        <w:t xml:space="preserve"> </w:t>
      </w:r>
      <w:r w:rsidRPr="000D24D2">
        <w:rPr>
          <w:rFonts w:ascii="Arial" w:eastAsia="Times New Roman" w:hAnsi="Arial" w:cs="Arial"/>
          <w:lang w:val="hu-HU" w:eastAsia="hu-HU"/>
        </w:rPr>
        <w:t xml:space="preserve">A szemkápráztató LC Yellow Edition változat megkapta a Sport+ csomagot is mely számos fejlett menetdinamikai megoldással egészíti ki a modell amúgy sem szegényes szolgáltatásait. Agilis, és minden korábbinál biztonságosabb kezelhetőség és fantasztikus irányíthatóság érhető el a Lexus Dynamic Handling (LDH) rendszerrel, melynek része a változtatható áttételű kormányzás (VGRS), valamint a négykerék-kormányzás is, amely egymástól függetlenül szabályozza az első és a hátsó kerekek egymáshoz viszonyított elfordulását. Az LDH a Torsen-rendszerű differenciálművet is megkapta.  </w:t>
      </w:r>
    </w:p>
    <w:p w:rsidR="000D24D2" w:rsidRPr="000D24D2" w:rsidRDefault="000D24D2" w:rsidP="000D24D2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D24D2">
        <w:rPr>
          <w:rFonts w:ascii="Arial" w:eastAsia="Times New Roman" w:hAnsi="Arial" w:cs="Arial"/>
          <w:lang w:val="hu-HU" w:eastAsia="hu-HU"/>
        </w:rPr>
        <w:lastRenderedPageBreak/>
        <w:t>További egyedi külső jellemzők közé tartoznak a 21 colos kovácsolt könnyűfém keréktárcsák, valamint a strapabíró, mégis könnyű szénszálból készült tető és az aktív hátsó szpojler. A hátsó szpojler különösen fontos szerepet játszik a jármű stabilitásának fenntartásában, ezért 80 km/h feletti sebességnél automatikusan kinyílik.</w:t>
      </w:r>
      <w:r w:rsidR="00F91BF8">
        <w:rPr>
          <w:rFonts w:ascii="Arial" w:eastAsia="Times New Roman" w:hAnsi="Arial" w:cs="Arial"/>
          <w:lang w:val="hu-HU" w:eastAsia="hu-HU"/>
        </w:rPr>
        <w:t xml:space="preserve"> </w:t>
      </w:r>
      <w:r w:rsidRPr="000D24D2">
        <w:rPr>
          <w:rFonts w:ascii="Arial" w:eastAsia="Times New Roman" w:hAnsi="Arial" w:cs="Arial"/>
          <w:lang w:val="hu-HU" w:eastAsia="hu-HU"/>
        </w:rPr>
        <w:t>A vadonatúj Yellow Edition kivitel mindkét - a Lexus forradalmi öntöltő Multi Stage Hybrid rendszerével szerelt LC 500h, valamint a benzines V8-as, 4</w:t>
      </w:r>
      <w:r w:rsidR="000312A8">
        <w:rPr>
          <w:rFonts w:ascii="Arial" w:eastAsia="Times New Roman" w:hAnsi="Arial" w:cs="Arial"/>
          <w:lang w:val="hu-HU" w:eastAsia="hu-HU"/>
        </w:rPr>
        <w:t>64</w:t>
      </w:r>
      <w:bookmarkStart w:id="0" w:name="_GoBack"/>
      <w:bookmarkEnd w:id="0"/>
      <w:r w:rsidRPr="000D24D2">
        <w:rPr>
          <w:rFonts w:ascii="Arial" w:eastAsia="Times New Roman" w:hAnsi="Arial" w:cs="Arial"/>
          <w:lang w:val="hu-HU" w:eastAsia="hu-HU"/>
        </w:rPr>
        <w:t xml:space="preserve"> lóerős, 10 fokozatú automata sebességváltóval szerelt LC 500-as – változatánál elérhető lesz.</w:t>
      </w:r>
      <w:r w:rsidR="00F91BF8">
        <w:rPr>
          <w:rFonts w:ascii="Arial" w:eastAsia="Times New Roman" w:hAnsi="Arial" w:cs="Arial"/>
          <w:lang w:val="hu-HU" w:eastAsia="hu-HU"/>
        </w:rPr>
        <w:t xml:space="preserve"> </w:t>
      </w:r>
      <w:r w:rsidRPr="000D24D2">
        <w:rPr>
          <w:rFonts w:ascii="Arial" w:eastAsia="Times New Roman" w:hAnsi="Arial" w:cs="Arial"/>
          <w:lang w:val="hu-HU" w:eastAsia="hu-HU"/>
        </w:rPr>
        <w:t>A Lexus LC Yellow Edition kupé októberben a Párizs Autószalonon is feltűnik. Az első megrendelt példányokat már ez év őszétől szállítják ki az ügyfelek részére.</w:t>
      </w:r>
    </w:p>
    <w:p w:rsidR="00CD4B9D" w:rsidRDefault="00CD4B9D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ipercze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53" w:rsidRDefault="003E7D53" w:rsidP="00566E8D">
      <w:pPr>
        <w:spacing w:after="0" w:line="240" w:lineRule="auto"/>
      </w:pPr>
      <w:r>
        <w:separator/>
      </w:r>
    </w:p>
  </w:endnote>
  <w:endnote w:type="continuationSeparator" w:id="0">
    <w:p w:rsidR="003E7D53" w:rsidRDefault="003E7D5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ipercze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Stopka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ipercze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ipercze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Stopka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53" w:rsidRDefault="003E7D53" w:rsidP="00566E8D">
      <w:pPr>
        <w:spacing w:after="0" w:line="240" w:lineRule="auto"/>
      </w:pPr>
      <w:r>
        <w:separator/>
      </w:r>
    </w:p>
  </w:footnote>
  <w:footnote w:type="continuationSeparator" w:id="0">
    <w:p w:rsidR="003E7D53" w:rsidRDefault="003E7D5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C17" w:rsidRPr="00E25C17" w:rsidRDefault="00E25C17" w:rsidP="00FA5A5F">
    <w:pPr>
      <w:pStyle w:val="Nagwek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64" w:rsidRPr="006D71A2" w:rsidRDefault="00F307A4" w:rsidP="00EF1164">
    <w:pPr>
      <w:pStyle w:val="Nagwek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12A8"/>
    <w:rsid w:val="000314A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E7D53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41D75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4E28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2B32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8D"/>
  </w:style>
  <w:style w:type="paragraph" w:styleId="Stopka">
    <w:name w:val="footer"/>
    <w:basedOn w:val="Normalny"/>
    <w:link w:val="StopkaZnak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8D"/>
  </w:style>
  <w:style w:type="character" w:styleId="Hipercze">
    <w:name w:val="Hyperlink"/>
    <w:uiPriority w:val="99"/>
    <w:rsid w:val="00566E8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">
    <w:name w:val="BodyText"/>
    <w:basedOn w:val="Normalny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Zwykytekst">
    <w:name w:val="Plain Text"/>
    <w:basedOn w:val="Normalny"/>
    <w:link w:val="ZwykytekstZnak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ny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Akapitzlist">
    <w:name w:val="List Paragraph"/>
    <w:basedOn w:val="Normalny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Odwoanieprzypisudolnego">
    <w:name w:val="footnote reference"/>
    <w:basedOn w:val="Domylnaczcionkaakapitu"/>
    <w:uiPriority w:val="99"/>
    <w:semiHidden/>
    <w:rsid w:val="00114BF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nyWeb">
    <w:name w:val="Normal (Web)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ny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omylnaczcionkaakapitu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ny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omylnaczcionkaakapitu"/>
    <w:rsid w:val="00501FC2"/>
    <w:rPr>
      <w:vanish w:val="0"/>
      <w:webHidden w:val="0"/>
      <w:specVanish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ny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Pogrubienie">
    <w:name w:val="Strong"/>
    <w:basedOn w:val="Domylnaczcionkaakapitu"/>
    <w:uiPriority w:val="22"/>
    <w:qFormat/>
    <w:rsid w:val="0043693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ny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ny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UyteHipercze">
    <w:name w:val="FollowedHyperlink"/>
    <w:basedOn w:val="Domylnaczcionkaakapitu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F73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F73F5"/>
  </w:style>
  <w:style w:type="character" w:customStyle="1" w:styleId="small">
    <w:name w:val="small"/>
    <w:basedOn w:val="Domylnaczcionkaakapitu"/>
    <w:rsid w:val="004F73F5"/>
  </w:style>
  <w:style w:type="character" w:styleId="Uwydatnienie">
    <w:name w:val="Emphasis"/>
    <w:basedOn w:val="Domylnaczcionkaakapitu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omylnaczcionkaakapitu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Zwrotpoegnalny">
    <w:name w:val="Closing"/>
    <w:basedOn w:val="Normalny"/>
    <w:link w:val="ZwrotpoegnalnyZnak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ZwrotpoegnalnyZnak">
    <w:name w:val="Zwrot pożegnalny Znak"/>
    <w:basedOn w:val="Domylnaczcionkaakapitu"/>
    <w:link w:val="Zwrotpoegnalny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5E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5E3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ny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lc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42AF-F112-4076-8AFC-6E1C2FF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monika nimszke</cp:lastModifiedBy>
  <cp:revision>6</cp:revision>
  <dcterms:created xsi:type="dcterms:W3CDTF">2018-08-02T15:12:00Z</dcterms:created>
  <dcterms:modified xsi:type="dcterms:W3CDTF">2018-08-03T09:50:00Z</dcterms:modified>
</cp:coreProperties>
</file>