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08D6" w14:textId="621E4D4B" w:rsidR="00D37724" w:rsidRPr="00491F82" w:rsidRDefault="00D37724">
      <w:pPr>
        <w:rPr>
          <w:rFonts w:ascii="Toyota Type" w:hAnsi="Toyota Type" w:cs="Toyota Type"/>
          <w:sz w:val="20"/>
          <w:szCs w:val="20"/>
        </w:rPr>
      </w:pPr>
    </w:p>
    <w:p w14:paraId="712CB651" w14:textId="45D724B8" w:rsidR="009A0BB6" w:rsidRDefault="00C95982" w:rsidP="00F91EBF">
      <w:pPr>
        <w:pStyle w:val="Nagwek1"/>
        <w:spacing w:before="92" w:line="240" w:lineRule="auto"/>
        <w:ind w:left="0"/>
        <w:jc w:val="right"/>
        <w:rPr>
          <w:b w:val="0"/>
          <w:bCs w:val="0"/>
          <w:color w:val="000000" w:themeColor="text1"/>
          <w:sz w:val="21"/>
          <w:szCs w:val="21"/>
          <w:lang w:val="hu-HU"/>
        </w:rPr>
      </w:pPr>
      <w:r w:rsidRPr="00E71D0F">
        <w:rPr>
          <w:b w:val="0"/>
          <w:bCs w:val="0"/>
          <w:color w:val="000000" w:themeColor="text1"/>
          <w:sz w:val="21"/>
          <w:szCs w:val="21"/>
          <w:lang w:val="hu-HU"/>
        </w:rPr>
        <w:t>2023.szeptember 2</w:t>
      </w:r>
      <w:r w:rsidR="009508B0">
        <w:rPr>
          <w:b w:val="0"/>
          <w:bCs w:val="0"/>
          <w:color w:val="000000" w:themeColor="text1"/>
          <w:sz w:val="21"/>
          <w:szCs w:val="21"/>
          <w:lang w:val="hu-HU"/>
        </w:rPr>
        <w:t>2</w:t>
      </w:r>
      <w:r w:rsidRPr="00E71D0F">
        <w:rPr>
          <w:b w:val="0"/>
          <w:bCs w:val="0"/>
          <w:color w:val="000000" w:themeColor="text1"/>
          <w:sz w:val="21"/>
          <w:szCs w:val="21"/>
          <w:lang w:val="hu-HU"/>
        </w:rPr>
        <w:t>.</w:t>
      </w:r>
    </w:p>
    <w:p w14:paraId="6AB5366D" w14:textId="77777777" w:rsidR="00E71D0F" w:rsidRPr="00E71D0F" w:rsidRDefault="00E71D0F" w:rsidP="00F91EBF">
      <w:pPr>
        <w:pStyle w:val="Nagwek1"/>
        <w:spacing w:before="92" w:line="240" w:lineRule="auto"/>
        <w:ind w:left="0"/>
        <w:jc w:val="right"/>
        <w:rPr>
          <w:b w:val="0"/>
          <w:bCs w:val="0"/>
          <w:color w:val="000000" w:themeColor="text1"/>
          <w:sz w:val="21"/>
          <w:szCs w:val="21"/>
          <w:lang w:val="hu-HU"/>
        </w:rPr>
      </w:pPr>
    </w:p>
    <w:p w14:paraId="398B2C0C" w14:textId="41069621" w:rsidR="00D825F4" w:rsidRPr="00D825F4" w:rsidRDefault="007A4D1F" w:rsidP="0051041D">
      <w:pPr>
        <w:pStyle w:val="Nagwek1"/>
        <w:spacing w:before="92" w:line="240" w:lineRule="auto"/>
        <w:ind w:left="0"/>
        <w:jc w:val="center"/>
        <w:rPr>
          <w:color w:val="393644"/>
          <w:sz w:val="24"/>
          <w:szCs w:val="24"/>
          <w:lang w:val="hu-HU"/>
        </w:rPr>
      </w:pPr>
      <w:r>
        <w:rPr>
          <w:color w:val="393644"/>
          <w:sz w:val="24"/>
          <w:szCs w:val="24"/>
          <w:lang w:val="hu-HU"/>
        </w:rPr>
        <w:t>Bepillantást engedett elektrifikációs stratégiájába a Lexus</w:t>
      </w:r>
    </w:p>
    <w:p w14:paraId="19933B31" w14:textId="77777777" w:rsidR="00D825F4" w:rsidRDefault="00D825F4" w:rsidP="00D825F4">
      <w:pPr>
        <w:spacing w:line="360" w:lineRule="auto"/>
        <w:jc w:val="both"/>
        <w:rPr>
          <w:rFonts w:ascii="Toyota Type" w:hAnsi="Toyota Type" w:cs="Toyota Type"/>
          <w:b/>
          <w:bCs/>
          <w:sz w:val="20"/>
          <w:szCs w:val="20"/>
        </w:rPr>
      </w:pPr>
    </w:p>
    <w:p w14:paraId="33D1EA91" w14:textId="4329AF74" w:rsidR="00A02D7E" w:rsidRDefault="000313D1" w:rsidP="00BA7C57">
      <w:pPr>
        <w:spacing w:after="0" w:line="360" w:lineRule="auto"/>
        <w:jc w:val="both"/>
        <w:rPr>
          <w:rFonts w:ascii="Toyota Type" w:hAnsi="Toyota Type" w:cs="Toyota Type"/>
          <w:b/>
          <w:bCs/>
          <w:sz w:val="20"/>
          <w:szCs w:val="20"/>
        </w:rPr>
      </w:pPr>
      <w:r>
        <w:rPr>
          <w:rFonts w:ascii="Toyota Type" w:hAnsi="Toyota Type" w:cs="Toyota Type"/>
          <w:b/>
          <w:bCs/>
          <w:sz w:val="20"/>
          <w:szCs w:val="20"/>
        </w:rPr>
        <w:t>Japánban leplezte le a Lexus a változó fogyasztói igényekre reagáló vadonatúj modellportfólióját</w:t>
      </w:r>
      <w:r w:rsidR="00A02D7E">
        <w:rPr>
          <w:rFonts w:ascii="Toyota Type" w:hAnsi="Toyota Type" w:cs="Toyota Type"/>
          <w:b/>
          <w:bCs/>
          <w:sz w:val="20"/>
          <w:szCs w:val="20"/>
        </w:rPr>
        <w:t>. A környezetbarát japán luxusautó márka felgyorsítja az akkumulátoros elektromos autók fejlesztését és a karbonsemleges társadalom elérését támogató erőfeszítéseit. Ennek részeként a környezetbarát, hidrogén belsőégésű motorral hajtott ROV Concepthez is egyedi ügyfélélményt dolgozott ki.</w:t>
      </w:r>
    </w:p>
    <w:p w14:paraId="313CBD99" w14:textId="77777777" w:rsidR="00A02D7E" w:rsidRDefault="00A02D7E" w:rsidP="00BA7C57">
      <w:pPr>
        <w:spacing w:after="0" w:line="360" w:lineRule="auto"/>
        <w:jc w:val="both"/>
        <w:rPr>
          <w:rFonts w:ascii="Toyota Type" w:hAnsi="Toyota Type" w:cs="Toyota Type"/>
          <w:b/>
          <w:bCs/>
          <w:sz w:val="20"/>
          <w:szCs w:val="20"/>
        </w:rPr>
      </w:pPr>
    </w:p>
    <w:p w14:paraId="103B679A" w14:textId="77777777" w:rsidR="00BA7C57" w:rsidRDefault="00F01FDA" w:rsidP="00BA7C57">
      <w:pPr>
        <w:spacing w:after="0" w:line="360" w:lineRule="auto"/>
        <w:jc w:val="both"/>
        <w:rPr>
          <w:rFonts w:ascii="Toyota Type" w:hAnsi="Toyota Type" w:cs="Toyota Type"/>
          <w:sz w:val="20"/>
          <w:szCs w:val="20"/>
        </w:rPr>
      </w:pPr>
      <w:r w:rsidRPr="00D825F4">
        <w:rPr>
          <w:rFonts w:ascii="Toyota Type" w:hAnsi="Toyota Type" w:cs="Toyota Type"/>
          <w:sz w:val="20"/>
          <w:szCs w:val="20"/>
        </w:rPr>
        <w:t xml:space="preserve">Takashi Watanabe, a Lexus </w:t>
      </w:r>
      <w:r w:rsidR="00A02D7E">
        <w:rPr>
          <w:rFonts w:ascii="Toyota Type" w:hAnsi="Toyota Type" w:cs="Toyota Type"/>
          <w:sz w:val="20"/>
          <w:szCs w:val="20"/>
        </w:rPr>
        <w:t xml:space="preserve">világszintű elnöke néhány nappal ezelőtt bepillantást engedett a vállalat új </w:t>
      </w:r>
      <w:r w:rsidRPr="00D825F4">
        <w:rPr>
          <w:rFonts w:ascii="Toyota Type" w:hAnsi="Toyota Type" w:cs="Toyota Type"/>
          <w:sz w:val="20"/>
          <w:szCs w:val="20"/>
        </w:rPr>
        <w:t>modellkínálat</w:t>
      </w:r>
      <w:r w:rsidR="00A02D7E">
        <w:rPr>
          <w:rFonts w:ascii="Toyota Type" w:hAnsi="Toyota Type" w:cs="Toyota Type"/>
          <w:sz w:val="20"/>
          <w:szCs w:val="20"/>
        </w:rPr>
        <w:t>ába,</w:t>
      </w:r>
      <w:r w:rsidRPr="00D825F4">
        <w:rPr>
          <w:rFonts w:ascii="Toyota Type" w:hAnsi="Toyota Type" w:cs="Toyota Type"/>
          <w:sz w:val="20"/>
          <w:szCs w:val="20"/>
        </w:rPr>
        <w:t xml:space="preserve"> mely minden vásárlói igénynek megfelel szerte a világon. </w:t>
      </w:r>
      <w:r w:rsidR="000313D1">
        <w:rPr>
          <w:rFonts w:ascii="Toyota Type" w:hAnsi="Toyota Type" w:cs="Toyota Type"/>
          <w:sz w:val="20"/>
          <w:szCs w:val="20"/>
        </w:rPr>
        <w:t>A cégvezér e</w:t>
      </w:r>
      <w:r w:rsidRPr="00D825F4">
        <w:rPr>
          <w:rFonts w:ascii="Toyota Type" w:hAnsi="Toyota Type" w:cs="Toyota Type"/>
          <w:sz w:val="20"/>
          <w:szCs w:val="20"/>
        </w:rPr>
        <w:t xml:space="preserve">mellett </w:t>
      </w:r>
      <w:r w:rsidR="000313D1">
        <w:rPr>
          <w:rFonts w:ascii="Toyota Type" w:hAnsi="Toyota Type" w:cs="Toyota Type"/>
          <w:sz w:val="20"/>
          <w:szCs w:val="20"/>
        </w:rPr>
        <w:t>bemutatta a</w:t>
      </w:r>
      <w:r w:rsidRPr="00D825F4">
        <w:rPr>
          <w:rFonts w:ascii="Toyota Type" w:hAnsi="Toyota Type" w:cs="Toyota Type"/>
          <w:sz w:val="20"/>
          <w:szCs w:val="20"/>
        </w:rPr>
        <w:t xml:space="preserve"> Lexus járműgyártásának jövőbeli irányát, valamint </w:t>
      </w:r>
      <w:r w:rsidR="000313D1">
        <w:rPr>
          <w:rFonts w:ascii="Toyota Type" w:hAnsi="Toyota Type" w:cs="Toyota Type"/>
          <w:sz w:val="20"/>
          <w:szCs w:val="20"/>
        </w:rPr>
        <w:t xml:space="preserve">ismertette </w:t>
      </w:r>
      <w:r w:rsidRPr="00D825F4">
        <w:rPr>
          <w:rFonts w:ascii="Toyota Type" w:hAnsi="Toyota Type" w:cs="Toyota Type"/>
          <w:sz w:val="20"/>
          <w:szCs w:val="20"/>
        </w:rPr>
        <w:t>a</w:t>
      </w:r>
      <w:r w:rsidR="000313D1">
        <w:rPr>
          <w:rFonts w:ascii="Toyota Type" w:hAnsi="Toyota Type" w:cs="Toyota Type"/>
          <w:sz w:val="20"/>
          <w:szCs w:val="20"/>
        </w:rPr>
        <w:t xml:space="preserve">z akkumulátoros </w:t>
      </w:r>
      <w:r w:rsidRPr="00D825F4">
        <w:rPr>
          <w:rFonts w:ascii="Toyota Type" w:hAnsi="Toyota Type" w:cs="Toyota Type"/>
          <w:sz w:val="20"/>
          <w:szCs w:val="20"/>
        </w:rPr>
        <w:t>elektromos járművek fejlesztés</w:t>
      </w:r>
      <w:r w:rsidR="000313D1">
        <w:rPr>
          <w:rFonts w:ascii="Toyota Type" w:hAnsi="Toyota Type" w:cs="Toyota Type"/>
          <w:sz w:val="20"/>
          <w:szCs w:val="20"/>
        </w:rPr>
        <w:t>ében</w:t>
      </w:r>
      <w:r w:rsidRPr="00D825F4">
        <w:rPr>
          <w:rFonts w:ascii="Toyota Type" w:hAnsi="Toyota Type" w:cs="Toyota Type"/>
          <w:sz w:val="20"/>
          <w:szCs w:val="20"/>
        </w:rPr>
        <w:t xml:space="preserve"> és népszerűsítés</w:t>
      </w:r>
      <w:r w:rsidR="000313D1">
        <w:rPr>
          <w:rFonts w:ascii="Toyota Type" w:hAnsi="Toyota Type" w:cs="Toyota Type"/>
          <w:sz w:val="20"/>
          <w:szCs w:val="20"/>
        </w:rPr>
        <w:t>ében rejlő kihívásokat</w:t>
      </w:r>
      <w:r w:rsidR="00A02D7E">
        <w:rPr>
          <w:rFonts w:ascii="Toyota Type" w:hAnsi="Toyota Type" w:cs="Toyota Type"/>
          <w:sz w:val="20"/>
          <w:szCs w:val="20"/>
        </w:rPr>
        <w:t>.</w:t>
      </w:r>
      <w:r w:rsidRPr="00D825F4">
        <w:rPr>
          <w:rFonts w:ascii="Toyota Type" w:hAnsi="Toyota Type" w:cs="Toyota Type"/>
          <w:sz w:val="20"/>
          <w:szCs w:val="20"/>
        </w:rPr>
        <w:t xml:space="preserve"> </w:t>
      </w:r>
      <w:r w:rsidR="00A02D7E">
        <w:rPr>
          <w:rFonts w:ascii="Toyota Type" w:hAnsi="Toyota Type" w:cs="Toyota Type"/>
          <w:sz w:val="20"/>
          <w:szCs w:val="20"/>
        </w:rPr>
        <w:t>Watanabe emellett a hid</w:t>
      </w:r>
      <w:r w:rsidRPr="00D825F4">
        <w:rPr>
          <w:rFonts w:ascii="Toyota Type" w:hAnsi="Toyota Type" w:cs="Toyota Type"/>
          <w:sz w:val="20"/>
          <w:szCs w:val="20"/>
        </w:rPr>
        <w:t>rogénmotorral felszerelt ROV Concepttel kapcsolatos vásárlói élményprogram</w:t>
      </w:r>
      <w:r w:rsidR="00A02D7E">
        <w:rPr>
          <w:rFonts w:ascii="Toyota Type" w:hAnsi="Toyota Type" w:cs="Toyota Type"/>
          <w:sz w:val="20"/>
          <w:szCs w:val="20"/>
        </w:rPr>
        <w:t xml:space="preserve">ot is bemutatta, melynek célja hogy ötvözze a vezetés valódi élményét a természetközeliséggel. </w:t>
      </w:r>
      <w:r w:rsidR="00A02D7E" w:rsidRPr="00A02D7E">
        <w:rPr>
          <w:rFonts w:ascii="Toyota Type" w:hAnsi="Toyota Type" w:cs="Toyota Type"/>
          <w:sz w:val="20"/>
          <w:szCs w:val="20"/>
        </w:rPr>
        <w:t xml:space="preserve">A </w:t>
      </w:r>
      <w:r w:rsidR="00A02D7E">
        <w:rPr>
          <w:rFonts w:ascii="Toyota Type" w:hAnsi="Toyota Type" w:cs="Toyota Type"/>
          <w:sz w:val="20"/>
          <w:szCs w:val="20"/>
        </w:rPr>
        <w:t xml:space="preserve">Lexus </w:t>
      </w:r>
      <w:r w:rsidR="00A02D7E" w:rsidRPr="00A02D7E">
        <w:rPr>
          <w:rFonts w:ascii="Toyota Type" w:hAnsi="Toyota Type" w:cs="Toyota Type"/>
          <w:sz w:val="20"/>
          <w:szCs w:val="20"/>
        </w:rPr>
        <w:t xml:space="preserve">ROV egy </w:t>
      </w:r>
      <w:r w:rsidR="00A02D7E">
        <w:rPr>
          <w:rFonts w:ascii="Toyota Type" w:hAnsi="Toyota Type" w:cs="Toyota Type"/>
          <w:sz w:val="20"/>
          <w:szCs w:val="20"/>
        </w:rPr>
        <w:t xml:space="preserve">korábban leleplezett </w:t>
      </w:r>
      <w:r w:rsidR="00BA7C57">
        <w:rPr>
          <w:rFonts w:ascii="Toyota Type" w:hAnsi="Toyota Type" w:cs="Toyota Type"/>
          <w:sz w:val="20"/>
          <w:szCs w:val="20"/>
        </w:rPr>
        <w:t xml:space="preserve">hidrogénhajtású, melléltermékként tiszta vizet kibocsátó </w:t>
      </w:r>
      <w:r w:rsidR="00A02D7E" w:rsidRPr="00A02D7E">
        <w:rPr>
          <w:rFonts w:ascii="Toyota Type" w:hAnsi="Toyota Type" w:cs="Toyota Type"/>
          <w:sz w:val="20"/>
          <w:szCs w:val="20"/>
        </w:rPr>
        <w:t xml:space="preserve">koncepciójármű, amely kiváló válaszreakciókkal és izgalmas motorhanggal rendelkezik, amely serkenti az érzékszerveket. </w:t>
      </w:r>
      <w:r w:rsidR="00BA7C57">
        <w:rPr>
          <w:rFonts w:ascii="Toyota Type" w:hAnsi="Toyota Type" w:cs="Toyota Type"/>
          <w:sz w:val="20"/>
          <w:szCs w:val="20"/>
        </w:rPr>
        <w:t>A</w:t>
      </w:r>
      <w:r w:rsidR="00A02D7E" w:rsidRPr="00A02D7E">
        <w:rPr>
          <w:rFonts w:ascii="Toyota Type" w:hAnsi="Toyota Type" w:cs="Toyota Type"/>
          <w:sz w:val="20"/>
          <w:szCs w:val="20"/>
        </w:rPr>
        <w:t xml:space="preserve">zzal, hogy </w:t>
      </w:r>
      <w:r w:rsidR="00BA7C57">
        <w:rPr>
          <w:rFonts w:ascii="Toyota Type" w:hAnsi="Toyota Type" w:cs="Toyota Type"/>
          <w:sz w:val="20"/>
          <w:szCs w:val="20"/>
        </w:rPr>
        <w:t>lehetővé teszi, hogy vezetője olyan helyekre is eljusson,</w:t>
      </w:r>
      <w:r w:rsidR="00A02D7E" w:rsidRPr="00A02D7E">
        <w:rPr>
          <w:rFonts w:ascii="Toyota Type" w:hAnsi="Toyota Type" w:cs="Toyota Type"/>
          <w:sz w:val="20"/>
          <w:szCs w:val="20"/>
        </w:rPr>
        <w:t xml:space="preserve"> ahová még a terepjárókkal sem lehet bemenni, célja, hogy a természettel való interakció és együttélés révén élvezetes vezetési életstílust kínáljon</w:t>
      </w:r>
      <w:r w:rsidR="00BA7C57">
        <w:rPr>
          <w:rFonts w:ascii="Toyota Type" w:hAnsi="Toyota Type" w:cs="Toyota Type"/>
          <w:sz w:val="20"/>
          <w:szCs w:val="20"/>
        </w:rPr>
        <w:t xml:space="preserve">, miközben olyan élményt kínál, </w:t>
      </w:r>
      <w:r w:rsidR="00B40B15" w:rsidRPr="00D825F4">
        <w:rPr>
          <w:rFonts w:ascii="Toyota Type" w:hAnsi="Toyota Type" w:cs="Toyota Type"/>
          <w:sz w:val="20"/>
          <w:szCs w:val="20"/>
        </w:rPr>
        <w:t xml:space="preserve">amelyet csak a belső égésű motorral szerelt járművek képesek nyújtani. </w:t>
      </w:r>
    </w:p>
    <w:p w14:paraId="5E3E3FA9" w14:textId="20D83378" w:rsidR="00B40B15" w:rsidRDefault="00BA7C57" w:rsidP="00BA7C57">
      <w:pPr>
        <w:spacing w:after="0" w:line="360" w:lineRule="auto"/>
        <w:jc w:val="both"/>
        <w:rPr>
          <w:rFonts w:ascii="Toyota Type" w:hAnsi="Toyota Type" w:cs="Toyota Type"/>
          <w:sz w:val="20"/>
          <w:szCs w:val="20"/>
        </w:rPr>
      </w:pPr>
      <w:r>
        <w:rPr>
          <w:rFonts w:ascii="Toyota Type" w:hAnsi="Toyota Type" w:cs="Toyota Type"/>
          <w:sz w:val="20"/>
          <w:szCs w:val="20"/>
        </w:rPr>
        <w:t xml:space="preserve">Amint azt Watanabe elmondta, </w:t>
      </w:r>
      <w:r w:rsidR="00B40B15" w:rsidRPr="00D825F4">
        <w:rPr>
          <w:rFonts w:ascii="Toyota Type" w:hAnsi="Toyota Type" w:cs="Toyota Type"/>
          <w:sz w:val="20"/>
          <w:szCs w:val="20"/>
        </w:rPr>
        <w:t>1989-es megalakulása óta a Lexus a „határok feszegetése” (Pushing Boundaries) filozófiát képviseli, folyamatosan megkérdőjelezve a luxusautók hagyományos elképzeléseit, és következetesen új technológiákat és értékeket kínálva ügyfeleinek. Luxus életstílus-márkaként továbbra is rugalmasak és figyelmesek lesznek az ügyfelek igényeire és a változó időkre tekintettel, valamint töretlenül küzdenek azért, hogy olyan autókat készítsenek, amelyek mosolyt csalnak az ügyfelek arcára.</w:t>
      </w:r>
    </w:p>
    <w:p w14:paraId="46654135" w14:textId="79FD4688" w:rsidR="00F01D71" w:rsidRDefault="00F01D71" w:rsidP="00BA7C57">
      <w:pPr>
        <w:spacing w:after="0" w:line="360" w:lineRule="auto"/>
        <w:rPr>
          <w:rFonts w:ascii="Toyota Type" w:hAnsi="Toyota Type" w:cs="Toyota Type"/>
          <w:b/>
          <w:bCs/>
        </w:rPr>
      </w:pPr>
      <w:r w:rsidRPr="00F01D71">
        <w:rPr>
          <w:rFonts w:ascii="Toyota Type" w:hAnsi="Toyota Type" w:cs="Toyota Type"/>
          <w:b/>
          <w:bCs/>
        </w:rPr>
        <w:t>Sokféleség</w:t>
      </w:r>
    </w:p>
    <w:p w14:paraId="11801A8C" w14:textId="64574DBF" w:rsidR="0051041D" w:rsidRDefault="00BA7C57" w:rsidP="00BA7C57">
      <w:pPr>
        <w:spacing w:after="0" w:line="360" w:lineRule="auto"/>
        <w:jc w:val="both"/>
        <w:rPr>
          <w:rFonts w:ascii="Toyota Type" w:hAnsi="Toyota Type" w:cs="Toyota Type"/>
          <w:sz w:val="20"/>
          <w:szCs w:val="20"/>
        </w:rPr>
      </w:pPr>
      <w:r>
        <w:rPr>
          <w:rFonts w:ascii="Toyota Type" w:hAnsi="Toyota Type" w:cs="Toyota Type"/>
          <w:sz w:val="20"/>
          <w:szCs w:val="20"/>
        </w:rPr>
        <w:t>A 2023-ban érkező, v</w:t>
      </w:r>
      <w:r w:rsidR="00F01D71" w:rsidRPr="00F01D71">
        <w:rPr>
          <w:rFonts w:ascii="Toyota Type" w:hAnsi="Toyota Type" w:cs="Toyota Type"/>
          <w:sz w:val="20"/>
          <w:szCs w:val="20"/>
        </w:rPr>
        <w:t xml:space="preserve">áltozatos </w:t>
      </w:r>
      <w:r>
        <w:rPr>
          <w:rFonts w:ascii="Toyota Type" w:hAnsi="Toyota Type" w:cs="Toyota Type"/>
          <w:sz w:val="20"/>
          <w:szCs w:val="20"/>
        </w:rPr>
        <w:t xml:space="preserve">a </w:t>
      </w:r>
      <w:r w:rsidR="00F01D71" w:rsidRPr="00F01D71">
        <w:rPr>
          <w:rFonts w:ascii="Toyota Type" w:hAnsi="Toyota Type" w:cs="Toyota Type"/>
          <w:sz w:val="20"/>
          <w:szCs w:val="20"/>
        </w:rPr>
        <w:t>luxus új értékeit kínáló</w:t>
      </w:r>
      <w:r>
        <w:rPr>
          <w:rFonts w:ascii="Toyota Type" w:hAnsi="Toyota Type" w:cs="Toyota Type"/>
          <w:sz w:val="20"/>
          <w:szCs w:val="20"/>
        </w:rPr>
        <w:t xml:space="preserve"> </w:t>
      </w:r>
      <w:r w:rsidR="00F01D71" w:rsidRPr="00F01D71">
        <w:rPr>
          <w:rFonts w:ascii="Toyota Type" w:hAnsi="Toyota Type" w:cs="Toyota Type"/>
          <w:sz w:val="20"/>
          <w:szCs w:val="20"/>
        </w:rPr>
        <w:t xml:space="preserve">modellkínálat </w:t>
      </w:r>
      <w:r>
        <w:rPr>
          <w:rFonts w:ascii="Toyota Type" w:hAnsi="Toyota Type" w:cs="Toyota Type"/>
          <w:sz w:val="20"/>
          <w:szCs w:val="20"/>
        </w:rPr>
        <w:t xml:space="preserve">fontos eleme a vadonaúj LM, amely </w:t>
      </w:r>
      <w:r w:rsidR="00F01D71" w:rsidRPr="00F01D71">
        <w:rPr>
          <w:rFonts w:ascii="Toyota Type" w:hAnsi="Toyota Type" w:cs="Toyota Type"/>
          <w:sz w:val="20"/>
          <w:szCs w:val="20"/>
        </w:rPr>
        <w:t>új</w:t>
      </w:r>
      <w:r>
        <w:rPr>
          <w:rFonts w:ascii="Toyota Type" w:hAnsi="Toyota Type" w:cs="Toyota Type"/>
          <w:sz w:val="20"/>
          <w:szCs w:val="20"/>
        </w:rPr>
        <w:t>, merész alternatívát kínál</w:t>
      </w:r>
      <w:r w:rsidR="00F01D71" w:rsidRPr="00F01D71">
        <w:rPr>
          <w:rFonts w:ascii="Toyota Type" w:hAnsi="Toyota Type" w:cs="Toyota Type"/>
          <w:sz w:val="20"/>
          <w:szCs w:val="20"/>
        </w:rPr>
        <w:t xml:space="preserve"> opció a sofőrös járművek világában. </w:t>
      </w:r>
      <w:r>
        <w:rPr>
          <w:rFonts w:ascii="Toyota Type" w:hAnsi="Toyota Type" w:cs="Toyota Type"/>
          <w:sz w:val="20"/>
          <w:szCs w:val="20"/>
        </w:rPr>
        <w:t xml:space="preserve">Hasonlóan izgalmas újdonság a kompakt crossover </w:t>
      </w:r>
      <w:r w:rsidR="00F01D71" w:rsidRPr="00F01D71">
        <w:rPr>
          <w:rFonts w:ascii="Toyota Type" w:hAnsi="Toyota Type" w:cs="Toyota Type"/>
          <w:sz w:val="20"/>
          <w:szCs w:val="20"/>
        </w:rPr>
        <w:t>LBX</w:t>
      </w:r>
      <w:r>
        <w:rPr>
          <w:rFonts w:ascii="Toyota Type" w:hAnsi="Toyota Type" w:cs="Toyota Type"/>
          <w:sz w:val="20"/>
          <w:szCs w:val="20"/>
        </w:rPr>
        <w:t xml:space="preserve">, amely </w:t>
      </w:r>
      <w:r w:rsidR="00F01D71" w:rsidRPr="00F01D71">
        <w:rPr>
          <w:rFonts w:ascii="Toyota Type" w:hAnsi="Toyota Type" w:cs="Toyota Type"/>
          <w:sz w:val="20"/>
          <w:szCs w:val="20"/>
        </w:rPr>
        <w:t xml:space="preserve"> felülmúlja a hagyományos mérethierarchiát, és olyan autót kínál az igényes ízlésű vásárlók számára, amely könnyed vezethetőséget biztosít. A </w:t>
      </w:r>
      <w:r>
        <w:rPr>
          <w:rFonts w:ascii="Toyota Type" w:hAnsi="Toyota Type" w:cs="Toyota Type"/>
          <w:sz w:val="20"/>
          <w:szCs w:val="20"/>
        </w:rPr>
        <w:t xml:space="preserve"> nagyméretű, Európában egyelőre nem forgalmazott </w:t>
      </w:r>
      <w:r w:rsidR="00F01D71" w:rsidRPr="00F01D71">
        <w:rPr>
          <w:rFonts w:ascii="Toyota Type" w:hAnsi="Toyota Type" w:cs="Toyota Type"/>
          <w:sz w:val="20"/>
          <w:szCs w:val="20"/>
        </w:rPr>
        <w:t>„GX” a valódi terepképességet a kifinomult közúti luxussal ötvözi, a „TX” pedig kizárólag az észak-amerikai vásárlókat szolgálja ki tágas, háromsoros utasterével, amely kényelmes utazást biztosít.</w:t>
      </w:r>
      <w:r w:rsidR="00F01D71">
        <w:rPr>
          <w:rFonts w:ascii="Toyota Type" w:hAnsi="Toyota Type" w:cs="Toyota Type"/>
          <w:sz w:val="20"/>
          <w:szCs w:val="20"/>
        </w:rPr>
        <w:t xml:space="preserve"> </w:t>
      </w:r>
      <w:r>
        <w:rPr>
          <w:rFonts w:ascii="Toyota Type" w:hAnsi="Toyota Type" w:cs="Toyota Type"/>
          <w:sz w:val="20"/>
          <w:szCs w:val="20"/>
        </w:rPr>
        <w:t xml:space="preserve"> Ezeket a modelleket egészíti ki – először Japánban – a </w:t>
      </w:r>
      <w:r w:rsidR="00F01D71" w:rsidRPr="00D825F4">
        <w:rPr>
          <w:rFonts w:ascii="Toyota Type" w:hAnsi="Toyota Type" w:cs="Toyota Type"/>
          <w:sz w:val="20"/>
          <w:szCs w:val="20"/>
        </w:rPr>
        <w:t>Lexus vásárlói élményprogram</w:t>
      </w:r>
      <w:r>
        <w:rPr>
          <w:rFonts w:ascii="Toyota Type" w:hAnsi="Toyota Type" w:cs="Toyota Type"/>
          <w:sz w:val="20"/>
          <w:szCs w:val="20"/>
        </w:rPr>
        <w:t>,</w:t>
      </w:r>
      <w:r w:rsidR="00F01D71" w:rsidRPr="00D825F4">
        <w:rPr>
          <w:rFonts w:ascii="Toyota Type" w:hAnsi="Toyota Type" w:cs="Toyota Type"/>
          <w:sz w:val="20"/>
          <w:szCs w:val="20"/>
        </w:rPr>
        <w:t xml:space="preserve"> amelynek célja a ROV Concept (ROV) jövőbeli gyakorlati alkalmazása, amely megkapta a Lexus első hidrogénüzemű belső égésű motorját.</w:t>
      </w:r>
      <w:r w:rsidR="00D825F4" w:rsidRPr="00D825F4">
        <w:rPr>
          <w:rFonts w:ascii="Toyota Type" w:hAnsi="Toyota Type" w:cs="Toyota Type"/>
          <w:sz w:val="20"/>
          <w:szCs w:val="20"/>
        </w:rPr>
        <w:t xml:space="preserve"> A ROV fejlesztése során az volt a cél, hogy olyan jellegzetes vezetési élményt nyújtsanak, amely a hagyományos személyautókkal nem lehetséges. Ezt a </w:t>
      </w:r>
      <w:r w:rsidR="00D825F4" w:rsidRPr="00D825F4">
        <w:rPr>
          <w:rFonts w:ascii="Toyota Type" w:hAnsi="Toyota Type" w:cs="Toyota Type"/>
          <w:sz w:val="20"/>
          <w:szCs w:val="20"/>
        </w:rPr>
        <w:lastRenderedPageBreak/>
        <w:t>kompakt karosszériaméret és a kivételes terepképességek révén érték el, amelyek izgalmas vezetési élményt és lehetőséget biztosítanak a természet nagyszerűségének felfedezésére. A hidrogénmotor használatával a ROV egyensúlyt kíván teremteni a környezettudatosság és a motor „szívverésének” érzése között. A ROV alacsony környezeti hatású technológiákat alkalmaz alkatrészeiben, köszönhetően az azonos jövőképű partnercégek együttműködésének. A Lexus továbbra is változatos élményeket kínál, amelyek lehetővé teszik az ügyfelek számára, hogy élvezzék a szabadtéri életmódot, a „természet mélyebb szeretetének és megértésének ösztönzése” filozófia alapján. Ezenkívül a Lexus az ügyfélélmény-programokon keresztül gyűjtött véleményeket visszajelzésként használja fel a gyakorlati alkalmazások jövőbeli technológiai fejlesztéseinek javítására.</w:t>
      </w:r>
    </w:p>
    <w:p w14:paraId="044E7587" w14:textId="77777777" w:rsidR="00BA7C57" w:rsidRDefault="00BA7C57" w:rsidP="00BA7C57">
      <w:pPr>
        <w:spacing w:after="0" w:line="360" w:lineRule="auto"/>
        <w:jc w:val="both"/>
        <w:rPr>
          <w:rFonts w:ascii="Toyota Type" w:hAnsi="Toyota Type" w:cs="Toyota Type"/>
          <w:sz w:val="20"/>
          <w:szCs w:val="20"/>
        </w:rPr>
      </w:pPr>
    </w:p>
    <w:p w14:paraId="27783D7D" w14:textId="11E9F6E3" w:rsidR="0051041D" w:rsidRPr="00556B3D" w:rsidRDefault="0051041D" w:rsidP="00BA7C57">
      <w:pPr>
        <w:spacing w:after="0"/>
        <w:rPr>
          <w:rFonts w:ascii="Toyota Type" w:hAnsi="Toyota Type" w:cs="Toyota Type"/>
          <w:b/>
          <w:bCs/>
        </w:rPr>
      </w:pPr>
      <w:r w:rsidRPr="00556B3D">
        <w:rPr>
          <w:rFonts w:ascii="Toyota Type" w:hAnsi="Toyota Type" w:cs="Toyota Type"/>
          <w:b/>
          <w:bCs/>
        </w:rPr>
        <w:t>Elektrifikáció</w:t>
      </w:r>
    </w:p>
    <w:p w14:paraId="49CD0DB4" w14:textId="72EA4B55" w:rsidR="0051041D" w:rsidRPr="00556B3D" w:rsidRDefault="0051041D" w:rsidP="00BA7C57">
      <w:pPr>
        <w:spacing w:after="0" w:line="360" w:lineRule="auto"/>
        <w:jc w:val="both"/>
        <w:rPr>
          <w:rFonts w:ascii="Toyota Type" w:hAnsi="Toyota Type" w:cs="Toyota Type"/>
          <w:sz w:val="20"/>
          <w:szCs w:val="20"/>
        </w:rPr>
      </w:pPr>
      <w:r w:rsidRPr="00556B3D">
        <w:rPr>
          <w:rFonts w:ascii="Toyota Type" w:hAnsi="Toyota Type" w:cs="Toyota Type"/>
          <w:sz w:val="20"/>
          <w:szCs w:val="20"/>
        </w:rPr>
        <w:t>A Lexus továbbra is törekszik a karbonsemleges társadalom megvalósítására, amelynek középpontjában a</w:t>
      </w:r>
      <w:r w:rsidR="00BA7C57">
        <w:rPr>
          <w:rFonts w:ascii="Toyota Type" w:hAnsi="Toyota Type" w:cs="Toyota Type"/>
          <w:sz w:val="20"/>
          <w:szCs w:val="20"/>
        </w:rPr>
        <w:t>z akkumulátoros</w:t>
      </w:r>
      <w:r w:rsidRPr="00556B3D">
        <w:rPr>
          <w:rFonts w:ascii="Toyota Type" w:hAnsi="Toyota Type" w:cs="Toyota Type"/>
          <w:sz w:val="20"/>
          <w:szCs w:val="20"/>
        </w:rPr>
        <w:t xml:space="preserve"> elektromos járművek állnak. Autógyártóként új szolgáltatásokat és a vezetés örömét is biztosítják majd. A Lexus</w:t>
      </w:r>
      <w:r w:rsidR="00BA7C57">
        <w:rPr>
          <w:rFonts w:ascii="Toyota Type" w:hAnsi="Toyota Type" w:cs="Toyota Type"/>
          <w:sz w:val="20"/>
          <w:szCs w:val="20"/>
        </w:rPr>
        <w:t xml:space="preserve"> </w:t>
      </w:r>
      <w:r w:rsidR="009508B0">
        <w:rPr>
          <w:rFonts w:ascii="Toyota Type" w:hAnsi="Toyota Type" w:cs="Toyota Type"/>
          <w:sz w:val="20"/>
          <w:szCs w:val="20"/>
        </w:rPr>
        <w:t xml:space="preserve">alapfilozófiájának </w:t>
      </w:r>
      <w:r w:rsidR="00BA7C57">
        <w:rPr>
          <w:rFonts w:ascii="Toyota Type" w:hAnsi="Toyota Type" w:cs="Toyota Type"/>
          <w:sz w:val="20"/>
          <w:szCs w:val="20"/>
        </w:rPr>
        <w:t>több évtizede</w:t>
      </w:r>
      <w:r w:rsidRPr="00556B3D">
        <w:rPr>
          <w:rFonts w:ascii="Toyota Type" w:hAnsi="Toyota Type" w:cs="Toyota Type"/>
          <w:sz w:val="20"/>
          <w:szCs w:val="20"/>
        </w:rPr>
        <w:t xml:space="preserve"> </w:t>
      </w:r>
      <w:r w:rsidR="009508B0">
        <w:rPr>
          <w:rFonts w:ascii="Toyota Type" w:hAnsi="Toyota Type" w:cs="Toyota Type"/>
          <w:sz w:val="20"/>
          <w:szCs w:val="20"/>
        </w:rPr>
        <w:t xml:space="preserve">sarokköve, </w:t>
      </w:r>
      <w:r w:rsidRPr="00556B3D">
        <w:rPr>
          <w:rFonts w:ascii="Toyota Type" w:hAnsi="Toyota Type" w:cs="Toyota Type"/>
          <w:sz w:val="20"/>
          <w:szCs w:val="20"/>
        </w:rPr>
        <w:t>hogy</w:t>
      </w:r>
      <w:r w:rsidR="00BA7C57">
        <w:rPr>
          <w:rFonts w:ascii="Toyota Type" w:hAnsi="Toyota Type" w:cs="Toyota Type"/>
          <w:sz w:val="20"/>
          <w:szCs w:val="20"/>
        </w:rPr>
        <w:t xml:space="preserve"> folyamatosan</w:t>
      </w:r>
      <w:r w:rsidRPr="00556B3D">
        <w:rPr>
          <w:rFonts w:ascii="Toyota Type" w:hAnsi="Toyota Type" w:cs="Toyota Type"/>
          <w:sz w:val="20"/>
          <w:szCs w:val="20"/>
        </w:rPr>
        <w:t xml:space="preserve"> javítsa járművei alapvető teljesítményét és jellemzőit, valamint finomítsa a </w:t>
      </w:r>
      <w:r w:rsidR="009508B0">
        <w:rPr>
          <w:rFonts w:ascii="Toyota Type" w:hAnsi="Toyota Type" w:cs="Toyota Type"/>
          <w:sz w:val="20"/>
          <w:szCs w:val="20"/>
        </w:rPr>
        <w:t>csak a Lexus márkára jellemző</w:t>
      </w:r>
      <w:r w:rsidRPr="00556B3D">
        <w:rPr>
          <w:rFonts w:ascii="Toyota Type" w:hAnsi="Toyota Type" w:cs="Toyota Type"/>
          <w:sz w:val="20"/>
          <w:szCs w:val="20"/>
        </w:rPr>
        <w:t xml:space="preserve"> vezetési élményt. Ezt a vezetési élményt természetesen továbbviszik a</w:t>
      </w:r>
      <w:r w:rsidR="00BA7C57">
        <w:rPr>
          <w:rFonts w:ascii="Toyota Type" w:hAnsi="Toyota Type" w:cs="Toyota Type"/>
          <w:sz w:val="20"/>
          <w:szCs w:val="20"/>
        </w:rPr>
        <w:t xml:space="preserve">z akkumulátoros </w:t>
      </w:r>
      <w:r w:rsidRPr="00556B3D">
        <w:rPr>
          <w:rFonts w:ascii="Toyota Type" w:hAnsi="Toyota Type" w:cs="Toyota Type"/>
          <w:sz w:val="20"/>
          <w:szCs w:val="20"/>
        </w:rPr>
        <w:t xml:space="preserve">elektromos modellek, és még magasabb szintre emelik az elektrifikációs technológiájukkal. Az </w:t>
      </w:r>
      <w:r w:rsidR="009508B0">
        <w:rPr>
          <w:rFonts w:ascii="Toyota Type" w:hAnsi="Toyota Type" w:cs="Toyota Type"/>
          <w:sz w:val="20"/>
          <w:szCs w:val="20"/>
        </w:rPr>
        <w:t xml:space="preserve">ezekben bemutatkozó </w:t>
      </w:r>
      <w:r w:rsidRPr="00556B3D">
        <w:rPr>
          <w:rFonts w:ascii="Toyota Type" w:hAnsi="Toyota Type" w:cs="Toyota Type"/>
          <w:sz w:val="20"/>
          <w:szCs w:val="20"/>
        </w:rPr>
        <w:t>alapvető technológiák közé tartozik a zökkenőmentes hajtáserő-szabályozás a DIRECT4 összkerékhajtási rendszerrel és a Steer-by-Wire rendszerrel, amely intuitív, lineáris kormányzási érzetet biztosít</w:t>
      </w:r>
      <w:r w:rsidR="009508B0">
        <w:rPr>
          <w:rFonts w:ascii="Toyota Type" w:hAnsi="Toyota Type" w:cs="Toyota Type"/>
          <w:sz w:val="20"/>
          <w:szCs w:val="20"/>
        </w:rPr>
        <w:t>, miközben to</w:t>
      </w:r>
      <w:r w:rsidRPr="00556B3D">
        <w:rPr>
          <w:rFonts w:ascii="Toyota Type" w:hAnsi="Toyota Type" w:cs="Toyota Type"/>
          <w:sz w:val="20"/>
          <w:szCs w:val="20"/>
        </w:rPr>
        <w:t xml:space="preserve">vábbra is természetes kommunikációt biztosítanak a vezető és az autó között, amely megidézi a vezetés örömét. </w:t>
      </w:r>
    </w:p>
    <w:p w14:paraId="777432A5" w14:textId="50A3CC85" w:rsidR="00556B3D" w:rsidRPr="00556B3D" w:rsidRDefault="00556B3D" w:rsidP="00BA7C57">
      <w:pPr>
        <w:spacing w:after="0" w:line="360" w:lineRule="auto"/>
        <w:jc w:val="both"/>
        <w:rPr>
          <w:rFonts w:ascii="Toyota Type" w:hAnsi="Toyota Type" w:cs="Toyota Type"/>
          <w:sz w:val="20"/>
          <w:szCs w:val="20"/>
        </w:rPr>
      </w:pPr>
      <w:r w:rsidRPr="00556B3D">
        <w:rPr>
          <w:rFonts w:ascii="Toyota Type" w:hAnsi="Toyota Type" w:cs="Toyota Type"/>
          <w:sz w:val="20"/>
          <w:szCs w:val="20"/>
        </w:rPr>
        <w:t>2026-</w:t>
      </w:r>
      <w:r w:rsidR="009508B0">
        <w:rPr>
          <w:rFonts w:ascii="Toyota Type" w:hAnsi="Toyota Type" w:cs="Toyota Type"/>
          <w:sz w:val="20"/>
          <w:szCs w:val="20"/>
        </w:rPr>
        <w:t>tól érkeznek a</w:t>
      </w:r>
      <w:r w:rsidRPr="00556B3D">
        <w:rPr>
          <w:rFonts w:ascii="Toyota Type" w:hAnsi="Toyota Type" w:cs="Toyota Type"/>
          <w:sz w:val="20"/>
          <w:szCs w:val="20"/>
        </w:rPr>
        <w:t xml:space="preserve"> Lexus egy új generációs akkumulátoros </w:t>
      </w:r>
      <w:r w:rsidR="009508B0">
        <w:rPr>
          <w:rFonts w:ascii="Toyota Type" w:hAnsi="Toyota Type" w:cs="Toyota Type"/>
          <w:sz w:val="20"/>
          <w:szCs w:val="20"/>
        </w:rPr>
        <w:t>elektromos autói,</w:t>
      </w:r>
      <w:r w:rsidRPr="00556B3D">
        <w:rPr>
          <w:rFonts w:ascii="Toyota Type" w:hAnsi="Toyota Type" w:cs="Toyota Type"/>
          <w:sz w:val="20"/>
          <w:szCs w:val="20"/>
        </w:rPr>
        <w:t xml:space="preserve"> forradalmi</w:t>
      </w:r>
      <w:r w:rsidR="009508B0">
        <w:rPr>
          <w:rFonts w:ascii="Toyota Type" w:hAnsi="Toyota Type" w:cs="Toyota Type"/>
          <w:sz w:val="20"/>
          <w:szCs w:val="20"/>
        </w:rPr>
        <w:t xml:space="preserve">, </w:t>
      </w:r>
      <w:r w:rsidRPr="00556B3D">
        <w:rPr>
          <w:rFonts w:ascii="Toyota Type" w:hAnsi="Toyota Type" w:cs="Toyota Type"/>
          <w:sz w:val="20"/>
          <w:szCs w:val="20"/>
        </w:rPr>
        <w:t xml:space="preserve"> moduláris karosszériafelépítéssel, drasztikusan megváltozott gyártási módszerrel és teljesen megújult szoftverplatformmal. </w:t>
      </w:r>
      <w:r w:rsidR="009508B0">
        <w:rPr>
          <w:rFonts w:ascii="Toyota Type" w:hAnsi="Toyota Type" w:cs="Toyota Type"/>
          <w:sz w:val="20"/>
          <w:szCs w:val="20"/>
        </w:rPr>
        <w:t xml:space="preserve">A sorozat első modelljének koncepcióját az október 28. és november 5. között megrendezésre kerülő </w:t>
      </w:r>
      <w:r w:rsidRPr="00556B3D">
        <w:rPr>
          <w:rFonts w:ascii="Toyota Type" w:hAnsi="Toyota Type" w:cs="Toyota Type"/>
          <w:sz w:val="20"/>
          <w:szCs w:val="20"/>
        </w:rPr>
        <w:t>Japan Mobility Show</w:t>
      </w:r>
      <w:r w:rsidR="009508B0">
        <w:rPr>
          <w:rFonts w:ascii="Toyota Type" w:hAnsi="Toyota Type" w:cs="Toyota Type"/>
          <w:sz w:val="20"/>
          <w:szCs w:val="20"/>
        </w:rPr>
        <w:t xml:space="preserve"> keretében</w:t>
      </w:r>
      <w:r w:rsidRPr="00556B3D">
        <w:rPr>
          <w:rFonts w:ascii="Toyota Type" w:hAnsi="Toyota Type" w:cs="Toyota Type"/>
          <w:sz w:val="20"/>
          <w:szCs w:val="20"/>
        </w:rPr>
        <w:t xml:space="preserve"> mutatják be, a Lexus azon elkötelezettségének részeként, hogy az elektrifikáción keresztül változtassa meg az autók jövőjét.</w:t>
      </w:r>
    </w:p>
    <w:p w14:paraId="3FC7D89B" w14:textId="77777777" w:rsidR="00556B3D" w:rsidRDefault="00556B3D" w:rsidP="00BA7C57">
      <w:pPr>
        <w:spacing w:after="0"/>
      </w:pPr>
    </w:p>
    <w:p w14:paraId="70CD851A" w14:textId="77777777" w:rsidR="00556B3D" w:rsidRPr="00556B3D" w:rsidRDefault="00556B3D" w:rsidP="00BA7C57">
      <w:pPr>
        <w:spacing w:after="0"/>
        <w:rPr>
          <w:rFonts w:ascii="Toyota Type" w:hAnsi="Toyota Type" w:cs="Toyota Type"/>
          <w:b/>
          <w:bCs/>
          <w:sz w:val="20"/>
          <w:szCs w:val="20"/>
        </w:rPr>
      </w:pPr>
      <w:r w:rsidRPr="00556B3D">
        <w:rPr>
          <w:rFonts w:ascii="Toyota Type" w:hAnsi="Toyota Type" w:cs="Toyota Type"/>
          <w:b/>
          <w:bCs/>
          <w:sz w:val="20"/>
          <w:szCs w:val="20"/>
        </w:rPr>
        <w:t>Karbonsemlegességi kezdeményezések a ROV esetében</w:t>
      </w:r>
    </w:p>
    <w:tbl>
      <w:tblPr>
        <w:tblW w:w="9244" w:type="dxa"/>
        <w:tblCellSpacing w:w="15" w:type="dxa"/>
        <w:tblBorders>
          <w:top w:val="single" w:sz="6" w:space="0" w:color="E0E0E0"/>
          <w:left w:val="single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7"/>
        <w:gridCol w:w="2784"/>
        <w:gridCol w:w="3723"/>
      </w:tblGrid>
      <w:tr w:rsidR="00556B3D" w:rsidRPr="00571FC0" w14:paraId="2437EF30" w14:textId="77777777" w:rsidTr="008B7E26">
        <w:trPr>
          <w:trHeight w:val="355"/>
          <w:tblHeader/>
          <w:tblCellSpacing w:w="15" w:type="dxa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782BA3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b/>
                <w:bCs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b/>
                <w:bCs/>
                <w:color w:val="212121"/>
                <w:sz w:val="20"/>
                <w:szCs w:val="20"/>
                <w:lang w:eastAsia="hu-HU"/>
              </w:rPr>
              <w:t>Vállalat</w:t>
            </w:r>
          </w:p>
        </w:tc>
        <w:tc>
          <w:tcPr>
            <w:tcW w:w="2754" w:type="dxa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2EC2FC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b/>
                <w:bCs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b/>
                <w:bCs/>
                <w:color w:val="212121"/>
                <w:sz w:val="20"/>
                <w:szCs w:val="20"/>
                <w:lang w:eastAsia="hu-HU"/>
              </w:rPr>
              <w:t>Elem</w:t>
            </w:r>
          </w:p>
        </w:tc>
        <w:tc>
          <w:tcPr>
            <w:tcW w:w="3678" w:type="dxa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FB3549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b/>
                <w:bCs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b/>
                <w:bCs/>
                <w:color w:val="212121"/>
                <w:sz w:val="20"/>
                <w:szCs w:val="20"/>
                <w:lang w:eastAsia="hu-HU"/>
              </w:rPr>
              <w:t>Fejlesztési technológia</w:t>
            </w:r>
          </w:p>
        </w:tc>
      </w:tr>
      <w:tr w:rsidR="00556B3D" w:rsidRPr="00571FC0" w14:paraId="3BEB4611" w14:textId="77777777" w:rsidTr="008B7E26">
        <w:trPr>
          <w:trHeight w:val="343"/>
          <w:tblCellSpacing w:w="15" w:type="dxa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DFCAB9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b/>
                <w:bCs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b/>
                <w:bCs/>
                <w:color w:val="212121"/>
                <w:sz w:val="20"/>
                <w:szCs w:val="20"/>
                <w:lang w:eastAsia="hu-HU"/>
              </w:rPr>
              <w:t>Yamaha Motor Co.</w:t>
            </w:r>
          </w:p>
        </w:tc>
        <w:tc>
          <w:tcPr>
            <w:tcW w:w="2754" w:type="dxa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70DD37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  <w:t>Motor</w:t>
            </w:r>
          </w:p>
        </w:tc>
        <w:tc>
          <w:tcPr>
            <w:tcW w:w="3678" w:type="dxa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E38829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  <w:t>Hidrogénhajtású belső égésű motor (közösen kifejlesztve)</w:t>
            </w:r>
          </w:p>
        </w:tc>
      </w:tr>
      <w:tr w:rsidR="00556B3D" w:rsidRPr="00571FC0" w14:paraId="4D6A054D" w14:textId="77777777" w:rsidTr="008B7E26">
        <w:trPr>
          <w:trHeight w:val="355"/>
          <w:tblCellSpacing w:w="15" w:type="dxa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EBC45B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b/>
                <w:bCs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b/>
                <w:bCs/>
                <w:color w:val="212121"/>
                <w:sz w:val="20"/>
                <w:szCs w:val="20"/>
                <w:lang w:eastAsia="hu-HU"/>
              </w:rPr>
              <w:t>KYB Corporation</w:t>
            </w:r>
          </w:p>
        </w:tc>
        <w:tc>
          <w:tcPr>
            <w:tcW w:w="2754" w:type="dxa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D8AA28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  <w:t>Gátlók</w:t>
            </w:r>
          </w:p>
        </w:tc>
        <w:tc>
          <w:tcPr>
            <w:tcW w:w="3678" w:type="dxa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0484DE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  <w:t>Biológiailag lebomló hidraulika folyadék</w:t>
            </w:r>
          </w:p>
        </w:tc>
      </w:tr>
      <w:tr w:rsidR="00556B3D" w:rsidRPr="00571FC0" w14:paraId="38EC80AD" w14:textId="77777777" w:rsidTr="008B7E26">
        <w:trPr>
          <w:trHeight w:val="355"/>
          <w:tblCellSpacing w:w="15" w:type="dxa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5A2DD7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b/>
                <w:bCs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b/>
                <w:bCs/>
                <w:color w:val="212121"/>
                <w:sz w:val="20"/>
                <w:szCs w:val="20"/>
                <w:lang w:eastAsia="hu-HU"/>
              </w:rPr>
              <w:t>Covestro Japan Corporation</w:t>
            </w:r>
          </w:p>
        </w:tc>
        <w:tc>
          <w:tcPr>
            <w:tcW w:w="2754" w:type="dxa"/>
            <w:vMerge w:val="restart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9D8D43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  <w:t>Első szélvédő</w:t>
            </w:r>
          </w:p>
        </w:tc>
        <w:tc>
          <w:tcPr>
            <w:tcW w:w="3678" w:type="dxa"/>
            <w:vMerge w:val="restart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411C6F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  <w:t>Alacsony széndioxid-felhasználású gyantaablak</w:t>
            </w:r>
          </w:p>
        </w:tc>
      </w:tr>
      <w:tr w:rsidR="00556B3D" w:rsidRPr="00571FC0" w14:paraId="36572387" w14:textId="77777777" w:rsidTr="008B7E26">
        <w:trPr>
          <w:trHeight w:val="355"/>
          <w:tblCellSpacing w:w="15" w:type="dxa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114915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b/>
                <w:bCs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b/>
                <w:bCs/>
                <w:color w:val="212121"/>
                <w:sz w:val="20"/>
                <w:szCs w:val="20"/>
                <w:lang w:eastAsia="hu-HU"/>
              </w:rPr>
              <w:t>C.I. Takiron Co.</w:t>
            </w:r>
          </w:p>
        </w:tc>
        <w:tc>
          <w:tcPr>
            <w:tcW w:w="2754" w:type="dxa"/>
            <w:vMerge/>
            <w:tcBorders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062D9B7A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</w:pPr>
          </w:p>
        </w:tc>
        <w:tc>
          <w:tcPr>
            <w:tcW w:w="3678" w:type="dxa"/>
            <w:vMerge/>
            <w:tcBorders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1EB23991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</w:pPr>
          </w:p>
        </w:tc>
      </w:tr>
      <w:tr w:rsidR="00556B3D" w:rsidRPr="00571FC0" w14:paraId="4E20E775" w14:textId="77777777" w:rsidTr="008B7E26">
        <w:trPr>
          <w:trHeight w:val="355"/>
          <w:tblCellSpacing w:w="15" w:type="dxa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FAC031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b/>
                <w:bCs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b/>
                <w:bCs/>
                <w:color w:val="212121"/>
                <w:sz w:val="20"/>
                <w:szCs w:val="20"/>
                <w:lang w:eastAsia="hu-HU"/>
              </w:rPr>
              <w:lastRenderedPageBreak/>
              <w:t>Toyota Industries Corporation</w:t>
            </w:r>
          </w:p>
        </w:tc>
        <w:tc>
          <w:tcPr>
            <w:tcW w:w="2754" w:type="dxa"/>
            <w:vMerge/>
            <w:tcBorders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79AC02F2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</w:pPr>
          </w:p>
        </w:tc>
        <w:tc>
          <w:tcPr>
            <w:tcW w:w="3678" w:type="dxa"/>
            <w:vMerge/>
            <w:tcBorders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56F9F460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</w:pPr>
          </w:p>
        </w:tc>
      </w:tr>
      <w:tr w:rsidR="00556B3D" w:rsidRPr="00571FC0" w14:paraId="7E2DA7BE" w14:textId="77777777" w:rsidTr="008B7E26">
        <w:trPr>
          <w:trHeight w:val="355"/>
          <w:tblCellSpacing w:w="15" w:type="dxa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5C5283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b/>
                <w:bCs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b/>
                <w:bCs/>
                <w:color w:val="212121"/>
                <w:sz w:val="20"/>
                <w:szCs w:val="20"/>
                <w:lang w:eastAsia="hu-HU"/>
              </w:rPr>
              <w:t>Toyoda Gosei Co.</w:t>
            </w:r>
          </w:p>
        </w:tc>
        <w:tc>
          <w:tcPr>
            <w:tcW w:w="2754" w:type="dxa"/>
            <w:vMerge w:val="restart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D651B7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  <w:t>Első motorháztető</w:t>
            </w:r>
          </w:p>
          <w:p w14:paraId="0009C96D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  <w:t>Első lökhárító</w:t>
            </w:r>
          </w:p>
        </w:tc>
        <w:tc>
          <w:tcPr>
            <w:tcW w:w="3678" w:type="dxa"/>
            <w:vMerge w:val="restart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811C76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  <w:t>Újrahasznosított gyanta + bioanyag (CNF)</w:t>
            </w:r>
          </w:p>
        </w:tc>
      </w:tr>
      <w:tr w:rsidR="00556B3D" w:rsidRPr="00571FC0" w14:paraId="2FD7710C" w14:textId="77777777" w:rsidTr="008B7E26">
        <w:trPr>
          <w:trHeight w:val="355"/>
          <w:tblCellSpacing w:w="15" w:type="dxa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891975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b/>
                <w:bCs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b/>
                <w:bCs/>
                <w:color w:val="212121"/>
                <w:sz w:val="20"/>
                <w:szCs w:val="20"/>
                <w:lang w:eastAsia="hu-HU"/>
              </w:rPr>
              <w:t>Toyota Motor Kyushu Corporation</w:t>
            </w:r>
          </w:p>
        </w:tc>
        <w:tc>
          <w:tcPr>
            <w:tcW w:w="2754" w:type="dxa"/>
            <w:vMerge/>
            <w:tcBorders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7EA26176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</w:pPr>
          </w:p>
        </w:tc>
        <w:tc>
          <w:tcPr>
            <w:tcW w:w="3678" w:type="dxa"/>
            <w:vMerge/>
            <w:tcBorders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14:paraId="3681E268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</w:pPr>
          </w:p>
        </w:tc>
      </w:tr>
      <w:tr w:rsidR="00556B3D" w:rsidRPr="00571FC0" w14:paraId="54F99158" w14:textId="77777777" w:rsidTr="008B7E26">
        <w:trPr>
          <w:trHeight w:val="355"/>
          <w:tblCellSpacing w:w="15" w:type="dxa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1894D9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b/>
                <w:bCs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b/>
                <w:bCs/>
                <w:color w:val="212121"/>
                <w:sz w:val="20"/>
                <w:szCs w:val="20"/>
                <w:lang w:eastAsia="hu-HU"/>
              </w:rPr>
              <w:t>Nifco Inc.</w:t>
            </w:r>
          </w:p>
        </w:tc>
        <w:tc>
          <w:tcPr>
            <w:tcW w:w="2754" w:type="dxa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135195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  <w:t>Klipszek</w:t>
            </w:r>
          </w:p>
        </w:tc>
        <w:tc>
          <w:tcPr>
            <w:tcW w:w="3678" w:type="dxa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2D6146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  <w:t>Biológiailag lebomló gyanta</w:t>
            </w:r>
          </w:p>
        </w:tc>
      </w:tr>
      <w:tr w:rsidR="00556B3D" w:rsidRPr="00571FC0" w14:paraId="0B5D4EB8" w14:textId="77777777" w:rsidTr="008B7E26">
        <w:trPr>
          <w:trHeight w:val="355"/>
          <w:tblCellSpacing w:w="15" w:type="dxa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49D1C9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b/>
                <w:bCs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b/>
                <w:bCs/>
                <w:color w:val="212121"/>
                <w:sz w:val="20"/>
                <w:szCs w:val="20"/>
                <w:lang w:eastAsia="hu-HU"/>
              </w:rPr>
              <w:t>Toyobo MC Co., Ltd.</w:t>
            </w:r>
          </w:p>
        </w:tc>
        <w:tc>
          <w:tcPr>
            <w:tcW w:w="2754" w:type="dxa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01C64F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  <w:t>Üléstámla támasz</w:t>
            </w:r>
          </w:p>
        </w:tc>
        <w:tc>
          <w:tcPr>
            <w:tcW w:w="3678" w:type="dxa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21D10A" w14:textId="77777777" w:rsidR="00556B3D" w:rsidRPr="00556B3D" w:rsidRDefault="00556B3D" w:rsidP="008B7E26">
            <w:pPr>
              <w:spacing w:before="60" w:after="60" w:line="240" w:lineRule="auto"/>
              <w:jc w:val="center"/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</w:pPr>
            <w:r w:rsidRPr="00556B3D">
              <w:rPr>
                <w:rFonts w:ascii="Toyota Type" w:eastAsia="Times New Roman" w:hAnsi="Toyota Type" w:cs="Toyota Type"/>
                <w:color w:val="212121"/>
                <w:sz w:val="20"/>
                <w:szCs w:val="20"/>
                <w:lang w:eastAsia="hu-HU"/>
              </w:rPr>
              <w:t>Háromdimenziós hálós szálszerkezet („horizontális újrahasznosítás”)</w:t>
            </w:r>
          </w:p>
        </w:tc>
      </w:tr>
    </w:tbl>
    <w:p w14:paraId="15A1937B" w14:textId="77777777" w:rsidR="00556B3D" w:rsidRDefault="00556B3D" w:rsidP="00556B3D">
      <w:pPr>
        <w:rPr>
          <w:b/>
          <w:bCs/>
        </w:rPr>
      </w:pPr>
    </w:p>
    <w:p w14:paraId="72A396B8" w14:textId="4AA031EB" w:rsidR="00556B3D" w:rsidRPr="00A01B68" w:rsidRDefault="00556B3D" w:rsidP="00556B3D">
      <w:pPr>
        <w:rPr>
          <w:rFonts w:ascii="Toyota Type" w:hAnsi="Toyota Type" w:cs="Toyota Type"/>
          <w:sz w:val="14"/>
          <w:szCs w:val="14"/>
        </w:rPr>
      </w:pPr>
    </w:p>
    <w:sectPr w:rsidR="00556B3D" w:rsidRPr="00A01B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A5FC" w14:textId="77777777" w:rsidR="00A157F5" w:rsidRDefault="00A157F5" w:rsidP="00556B3D">
      <w:pPr>
        <w:spacing w:after="0" w:line="240" w:lineRule="auto"/>
      </w:pPr>
      <w:r>
        <w:separator/>
      </w:r>
    </w:p>
  </w:endnote>
  <w:endnote w:type="continuationSeparator" w:id="0">
    <w:p w14:paraId="1559D2F6" w14:textId="77777777" w:rsidR="00A157F5" w:rsidRDefault="00A157F5" w:rsidP="0055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yotaType-Semibold">
    <w:altName w:val="Calibri"/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Toyota Type">
    <w:altName w:val="Calibri"/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Toyota Display">
    <w:panose1 w:val="02000503000000020003"/>
    <w:charset w:val="EE"/>
    <w:family w:val="auto"/>
    <w:pitch w:val="variable"/>
    <w:sig w:usb0="A00002AF" w:usb1="5000205B" w:usb2="00000000" w:usb3="00000000" w:csb0="0000009F" w:csb1="00000000"/>
  </w:font>
  <w:font w:name="Toyota Type Black">
    <w:altName w:val="Calibri"/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A424" w14:textId="77777777" w:rsidR="00A157F5" w:rsidRDefault="00A157F5" w:rsidP="00556B3D">
      <w:pPr>
        <w:spacing w:after="0" w:line="240" w:lineRule="auto"/>
      </w:pPr>
      <w:r>
        <w:separator/>
      </w:r>
    </w:p>
  </w:footnote>
  <w:footnote w:type="continuationSeparator" w:id="0">
    <w:p w14:paraId="5716AF3C" w14:textId="77777777" w:rsidR="00A157F5" w:rsidRDefault="00A157F5" w:rsidP="0055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5527" w14:textId="1D20CC30" w:rsidR="00576351" w:rsidRDefault="00576351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82FDFA" wp14:editId="067E4C7B">
          <wp:simplePos x="0" y="0"/>
          <wp:positionH relativeFrom="margin">
            <wp:posOffset>40640</wp:posOffset>
          </wp:positionH>
          <wp:positionV relativeFrom="topMargin">
            <wp:posOffset>277495</wp:posOffset>
          </wp:positionV>
          <wp:extent cx="2069465" cy="619760"/>
          <wp:effectExtent l="0" t="0" r="6985" b="8890"/>
          <wp:wrapNone/>
          <wp:docPr id="2" name="Picture 2" descr="R:\3523\Share\LEXUS DRIVE\01 Administration\Brand visual guidelines\Master Brand Logos with Tagline\3D\RGB_Screen\JPEG_for_web_PPT\Lexus_3D_Tag_Black_L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R:\3523\Share\LEXUS DRIVE\01 Administration\Brand visual guidelines\Master Brand Logos with Tagline\3D\RGB_Screen\JPEG_for_web_PPT\Lexus_3D_Tag_Black_L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9100F3" w14:textId="2DE44EFF" w:rsidR="00576351" w:rsidRDefault="00576351">
    <w:pPr>
      <w:pStyle w:val="Nagwek"/>
    </w:pPr>
  </w:p>
  <w:p w14:paraId="08A027CF" w14:textId="77777777" w:rsidR="00576351" w:rsidRDefault="00576351">
    <w:pPr>
      <w:pStyle w:val="Nagwek"/>
    </w:pPr>
  </w:p>
  <w:p w14:paraId="11022B1F" w14:textId="77777777" w:rsidR="00576351" w:rsidRDefault="00576351">
    <w:pPr>
      <w:pStyle w:val="Nagwek"/>
    </w:pPr>
  </w:p>
  <w:p w14:paraId="07638476" w14:textId="0B7BC8D3" w:rsidR="00556B3D" w:rsidRPr="00576351" w:rsidRDefault="00576351" w:rsidP="00576351">
    <w:pPr>
      <w:pStyle w:val="Nagwek"/>
      <w:jc w:val="center"/>
      <w:rPr>
        <w:rFonts w:ascii="Toyota Display" w:hAnsi="Toyota Display" w:cs="Toyota Type Black"/>
        <w:noProof/>
        <w:lang w:val="pl-PL" w:eastAsia="pl-PL"/>
      </w:rPr>
    </w:pPr>
    <w:r>
      <w:rPr>
        <w:rFonts w:ascii="Toyota Display" w:hAnsi="Toyota Display" w:cs="Toyota Type Black"/>
        <w:noProof/>
        <w:lang w:val="pl-PL" w:eastAsia="pl-PL"/>
      </w:rPr>
      <w:t>LEXUS</w:t>
    </w:r>
    <w:r w:rsidRPr="001633E0">
      <w:rPr>
        <w:rFonts w:ascii="Toyota Display" w:hAnsi="Toyota Display" w:cs="Toyota Type Black"/>
        <w:noProof/>
        <w:lang w:val="pl-PL" w:eastAsia="pl-PL"/>
      </w:rPr>
      <w:t xml:space="preserve"> SAJTÓKÖZLEMÉNY</w:t>
    </w:r>
    <w:r w:rsidR="00556B3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F05CD0" wp14:editId="370B1FE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1" name="MSIPCM0098447cad03cd7add909341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0E1F34" w14:textId="55E10D7C" w:rsidR="00556B3D" w:rsidRPr="00556B3D" w:rsidRDefault="00556B3D" w:rsidP="00556B3D">
                          <w:pPr>
                            <w:spacing w:after="0"/>
                            <w:jc w:val="center"/>
                            <w:rPr>
                              <w:rFonts w:ascii="MS UI Gothic" w:eastAsia="MS UI Gothic" w:hAnsi="MS UI Gothic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05CD0" id="_x0000_t202" coordsize="21600,21600" o:spt="202" path="m,l,21600r21600,l21600,xe">
              <v:stroke joinstyle="miter"/>
              <v:path gradientshapeok="t" o:connecttype="rect"/>
            </v:shapetype>
            <v:shape id="MSIPCM0098447cad03cd7add909341" o:spid="_x0000_s1026" type="#_x0000_t202" alt="{&quot;HashCode&quot;:78795118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2B0E1F34" w14:textId="55E10D7C" w:rsidR="00556B3D" w:rsidRPr="00556B3D" w:rsidRDefault="00556B3D" w:rsidP="00556B3D">
                    <w:pPr>
                      <w:spacing w:after="0"/>
                      <w:jc w:val="center"/>
                      <w:rPr>
                        <w:rFonts w:ascii="MS UI Gothic" w:eastAsia="MS UI Gothic" w:hAnsi="MS UI Gothic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27"/>
    <w:rsid w:val="000313D1"/>
    <w:rsid w:val="000411E7"/>
    <w:rsid w:val="001223DD"/>
    <w:rsid w:val="00411546"/>
    <w:rsid w:val="00434C36"/>
    <w:rsid w:val="0048188E"/>
    <w:rsid w:val="00483FE2"/>
    <w:rsid w:val="00491F82"/>
    <w:rsid w:val="004A1A27"/>
    <w:rsid w:val="0051041D"/>
    <w:rsid w:val="00556B3D"/>
    <w:rsid w:val="00576351"/>
    <w:rsid w:val="007A4D1F"/>
    <w:rsid w:val="009508B0"/>
    <w:rsid w:val="009A0BB6"/>
    <w:rsid w:val="00A01B68"/>
    <w:rsid w:val="00A02D7E"/>
    <w:rsid w:val="00A157F5"/>
    <w:rsid w:val="00B40B15"/>
    <w:rsid w:val="00BA7C57"/>
    <w:rsid w:val="00C95982"/>
    <w:rsid w:val="00CA10A6"/>
    <w:rsid w:val="00D37724"/>
    <w:rsid w:val="00D825F4"/>
    <w:rsid w:val="00E71D0F"/>
    <w:rsid w:val="00F01D71"/>
    <w:rsid w:val="00F01FDA"/>
    <w:rsid w:val="00F9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7A9D5"/>
  <w15:chartTrackingRefBased/>
  <w15:docId w15:val="{E116E130-8572-45C6-93BC-10AE887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825F4"/>
    <w:pPr>
      <w:widowControl w:val="0"/>
      <w:autoSpaceDE w:val="0"/>
      <w:autoSpaceDN w:val="0"/>
      <w:spacing w:after="0" w:line="283" w:lineRule="exact"/>
      <w:ind w:left="313"/>
      <w:outlineLvl w:val="0"/>
    </w:pPr>
    <w:rPr>
      <w:rFonts w:ascii="ToyotaType-Semibold" w:eastAsia="ToyotaType-Semibold" w:hAnsi="ToyotaType-Semibold" w:cs="ToyotaType-Semibold"/>
      <w:b/>
      <w:bCs/>
      <w:sz w:val="20"/>
      <w:szCs w:val="20"/>
      <w:lang w:val="en-GB" w:eastAsia="en-GB" w:bidi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25F4"/>
    <w:rPr>
      <w:rFonts w:ascii="ToyotaType-Semibold" w:eastAsia="ToyotaType-Semibold" w:hAnsi="ToyotaType-Semibold" w:cs="ToyotaType-Semibold"/>
      <w:b/>
      <w:bCs/>
      <w:sz w:val="20"/>
      <w:szCs w:val="20"/>
      <w:lang w:val="en-GB" w:eastAsia="en-GB" w:bidi="en-GB"/>
    </w:rPr>
  </w:style>
  <w:style w:type="paragraph" w:styleId="Nagwek">
    <w:name w:val="header"/>
    <w:basedOn w:val="Normalny"/>
    <w:link w:val="NagwekZnak"/>
    <w:uiPriority w:val="99"/>
    <w:unhideWhenUsed/>
    <w:rsid w:val="0055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B3D"/>
  </w:style>
  <w:style w:type="paragraph" w:styleId="Stopka">
    <w:name w:val="footer"/>
    <w:basedOn w:val="Normalny"/>
    <w:link w:val="StopkaZnak"/>
    <w:uiPriority w:val="99"/>
    <w:unhideWhenUsed/>
    <w:rsid w:val="0055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Motor Europe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Csorgo (TCE)</dc:creator>
  <cp:keywords/>
  <dc:description/>
  <cp:lastModifiedBy>monika nimszke</cp:lastModifiedBy>
  <cp:revision>3</cp:revision>
  <dcterms:created xsi:type="dcterms:W3CDTF">2023-09-21T14:05:00Z</dcterms:created>
  <dcterms:modified xsi:type="dcterms:W3CDTF">2023-09-25T07:21:00Z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544d3e-f761-46b2-881e-fd08f3b12f65_Enabled">
    <vt:lpwstr>true</vt:lpwstr>
  </property>
  <property fmtid="{D5CDD505-2E9C-101B-9397-08002B2CF9AE}" pid="3" name="MSIP_Label_d9544d3e-f761-46b2-881e-fd08f3b12f65_SetDate">
    <vt:lpwstr>2023-09-21T14:04:46Z</vt:lpwstr>
  </property>
  <property fmtid="{D5CDD505-2E9C-101B-9397-08002B2CF9AE}" pid="4" name="MSIP_Label_d9544d3e-f761-46b2-881e-fd08f3b12f65_Method">
    <vt:lpwstr>Standard</vt:lpwstr>
  </property>
  <property fmtid="{D5CDD505-2E9C-101B-9397-08002B2CF9AE}" pid="5" name="MSIP_Label_d9544d3e-f761-46b2-881e-fd08f3b12f65_Name">
    <vt:lpwstr>Protected</vt:lpwstr>
  </property>
  <property fmtid="{D5CDD505-2E9C-101B-9397-08002B2CF9AE}" pid="6" name="MSIP_Label_d9544d3e-f761-46b2-881e-fd08f3b12f65_SiteId">
    <vt:lpwstr>52b742d1-3dc2-47ac-bf03-609c83d9df9f</vt:lpwstr>
  </property>
  <property fmtid="{D5CDD505-2E9C-101B-9397-08002B2CF9AE}" pid="7" name="MSIP_Label_d9544d3e-f761-46b2-881e-fd08f3b12f65_ActionId">
    <vt:lpwstr>9290e1d8-87c5-4e14-9206-1732df7f3b78</vt:lpwstr>
  </property>
  <property fmtid="{D5CDD505-2E9C-101B-9397-08002B2CF9AE}" pid="8" name="MSIP_Label_d9544d3e-f761-46b2-881e-fd08f3b12f65_ContentBits">
    <vt:lpwstr>1</vt:lpwstr>
  </property>
</Properties>
</file>