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ABE54" w14:textId="77777777" w:rsidR="00F87C11" w:rsidRDefault="00813915" w:rsidP="0039590B">
      <w:pPr>
        <w:spacing w:before="120"/>
        <w:jc w:val="both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440" w:dyaOrig="1440" w14:anchorId="3F0FF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0;width:.85pt;height:.85pt;z-index:251659264;mso-position-horizontal:left;mso-position-horizontal-relative:text;mso-position-vertical-relative:text" filled="t">
            <v:imagedata r:id="rId5" o:title=""/>
            <o:lock v:ext="edit" aspectratio="f"/>
            <w10:wrap type="square" side="right"/>
          </v:shape>
          <o:OLEObject Type="Embed" ProgID="Word.Picture.8" ShapeID="_x0000_s1028" DrawAspect="Content" ObjectID="_1597833244" r:id="rId6"/>
        </w:object>
      </w:r>
    </w:p>
    <w:p w14:paraId="1CE481E5" w14:textId="77777777" w:rsidR="00F87C11" w:rsidRDefault="00DB30A9" w:rsidP="000A68F4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0557FED1" w14:textId="77777777" w:rsidR="00F87C11" w:rsidRDefault="00F87C11" w:rsidP="000A68F4">
      <w:pPr>
        <w:spacing w:before="120"/>
        <w:jc w:val="right"/>
        <w:rPr>
          <w:rFonts w:ascii="NobelCE Lt" w:hAnsi="NobelCE Lt" w:cs="Arial"/>
          <w:color w:val="808080"/>
          <w:sz w:val="20"/>
          <w:szCs w:val="20"/>
        </w:rPr>
      </w:pPr>
    </w:p>
    <w:p w14:paraId="1BD75C7D" w14:textId="77777777" w:rsidR="00F87C11" w:rsidRDefault="006D3B00" w:rsidP="000A68F4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10</w:t>
      </w:r>
      <w:r w:rsidR="00F67015">
        <w:rPr>
          <w:rFonts w:ascii="NobelCE Lt" w:hAnsi="NobelCE Lt" w:cs="Arial"/>
        </w:rPr>
        <w:t xml:space="preserve">. září </w:t>
      </w:r>
      <w:r w:rsidR="00DB30A9">
        <w:rPr>
          <w:rFonts w:ascii="NobelCE Lt" w:hAnsi="NobelCE Lt" w:cs="Arial"/>
        </w:rPr>
        <w:t>2018</w:t>
      </w:r>
    </w:p>
    <w:p w14:paraId="3003E29B" w14:textId="77777777" w:rsidR="00F87C11" w:rsidRDefault="00F87C11" w:rsidP="0039590B">
      <w:pPr>
        <w:pStyle w:val="Bezodstpw"/>
        <w:spacing w:before="120"/>
        <w:jc w:val="both"/>
        <w:rPr>
          <w:rFonts w:ascii="NobelCE Lt" w:hAnsi="NobelCE Lt"/>
          <w:b/>
          <w:sz w:val="28"/>
          <w:szCs w:val="56"/>
        </w:rPr>
      </w:pPr>
    </w:p>
    <w:p w14:paraId="20191AD2" w14:textId="7A9FC2B1" w:rsidR="00F67015" w:rsidRDefault="002F046F" w:rsidP="000A68F4">
      <w:pPr>
        <w:spacing w:after="160"/>
        <w:rPr>
          <w:rFonts w:ascii="NobelCE Lt" w:hAnsi="NobelCE Lt"/>
          <w:b/>
          <w:sz w:val="48"/>
          <w:szCs w:val="48"/>
        </w:rPr>
      </w:pPr>
      <w:r w:rsidRPr="0039590B">
        <w:rPr>
          <w:rFonts w:ascii="NobelCE Lt" w:hAnsi="NobelCE Lt"/>
          <w:b/>
          <w:sz w:val="48"/>
          <w:szCs w:val="48"/>
        </w:rPr>
        <w:t>LEXUS ODHAL</w:t>
      </w:r>
      <w:r w:rsidR="0039590B" w:rsidRPr="0039590B">
        <w:rPr>
          <w:rFonts w:ascii="NobelCE Lt" w:hAnsi="NobelCE Lt"/>
          <w:b/>
          <w:sz w:val="48"/>
          <w:szCs w:val="48"/>
        </w:rPr>
        <w:t xml:space="preserve">UJE </w:t>
      </w:r>
      <w:r w:rsidR="0050417D" w:rsidRPr="0039590B">
        <w:rPr>
          <w:rFonts w:ascii="NobelCE Lt" w:hAnsi="NobelCE Lt"/>
          <w:b/>
          <w:sz w:val="48"/>
          <w:szCs w:val="48"/>
        </w:rPr>
        <w:t>LUXUSNÍ JACHTU</w:t>
      </w:r>
      <w:r w:rsidR="006D3B00">
        <w:rPr>
          <w:rFonts w:ascii="NobelCE Lt" w:hAnsi="NobelCE Lt"/>
          <w:b/>
          <w:sz w:val="48"/>
          <w:szCs w:val="48"/>
        </w:rPr>
        <w:br/>
      </w:r>
      <w:r w:rsidR="0050417D" w:rsidRPr="0039590B">
        <w:rPr>
          <w:rFonts w:ascii="NobelCE Lt" w:hAnsi="NobelCE Lt"/>
          <w:b/>
          <w:sz w:val="48"/>
          <w:szCs w:val="48"/>
        </w:rPr>
        <w:t>LY 650</w:t>
      </w:r>
    </w:p>
    <w:p w14:paraId="5DFD0B97" w14:textId="77777777" w:rsidR="00813915" w:rsidRPr="0039590B" w:rsidRDefault="00813915" w:rsidP="000A68F4">
      <w:pPr>
        <w:spacing w:after="160"/>
        <w:rPr>
          <w:rFonts w:ascii="Nobel-Regular" w:eastAsia="Calibri" w:hAnsi="Nobel-Regular"/>
          <w:sz w:val="48"/>
          <w:szCs w:val="48"/>
        </w:rPr>
      </w:pPr>
    </w:p>
    <w:p w14:paraId="7E269AD7" w14:textId="77777777" w:rsidR="002F046F" w:rsidRDefault="002F046F" w:rsidP="0039590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  <w:r w:rsidRPr="002F046F">
        <w:rPr>
          <w:rFonts w:ascii="NobelCE Lt" w:hAnsi="NobelCE Lt"/>
          <w:sz w:val="28"/>
          <w:szCs w:val="28"/>
        </w:rPr>
        <w:t xml:space="preserve">Jachta Lexus o délce </w:t>
      </w:r>
      <w:r w:rsidR="006A2191">
        <w:rPr>
          <w:rFonts w:ascii="NobelCE Lt" w:hAnsi="NobelCE Lt"/>
          <w:sz w:val="28"/>
          <w:szCs w:val="28"/>
        </w:rPr>
        <w:t>19,8 metrů</w:t>
      </w:r>
      <w:r w:rsidRPr="002F046F">
        <w:rPr>
          <w:rFonts w:ascii="NobelCE Lt" w:hAnsi="NobelCE Lt"/>
          <w:sz w:val="28"/>
          <w:szCs w:val="28"/>
        </w:rPr>
        <w:t xml:space="preserve"> se stává </w:t>
      </w:r>
      <w:r w:rsidR="006D3B00">
        <w:rPr>
          <w:rFonts w:ascii="NobelCE Lt" w:hAnsi="NobelCE Lt"/>
          <w:sz w:val="28"/>
          <w:szCs w:val="28"/>
        </w:rPr>
        <w:t xml:space="preserve">další </w:t>
      </w:r>
      <w:r w:rsidRPr="002F046F">
        <w:rPr>
          <w:rFonts w:ascii="NobelCE Lt" w:hAnsi="NobelCE Lt"/>
          <w:sz w:val="28"/>
          <w:szCs w:val="28"/>
        </w:rPr>
        <w:t xml:space="preserve">vlajkovou lodí </w:t>
      </w:r>
      <w:r w:rsidR="006D3B00">
        <w:rPr>
          <w:rFonts w:ascii="NobelCE Lt" w:hAnsi="NobelCE Lt"/>
          <w:sz w:val="28"/>
          <w:szCs w:val="28"/>
        </w:rPr>
        <w:t xml:space="preserve">značky </w:t>
      </w:r>
      <w:r w:rsidRPr="002F046F">
        <w:rPr>
          <w:rFonts w:ascii="NobelCE Lt" w:hAnsi="NobelCE Lt"/>
          <w:sz w:val="28"/>
          <w:szCs w:val="28"/>
        </w:rPr>
        <w:t xml:space="preserve">Lexus, vedle </w:t>
      </w:r>
      <w:r w:rsidR="006D3B00">
        <w:rPr>
          <w:rFonts w:ascii="NobelCE Lt" w:hAnsi="NobelCE Lt"/>
          <w:sz w:val="28"/>
          <w:szCs w:val="28"/>
        </w:rPr>
        <w:t xml:space="preserve">nového </w:t>
      </w:r>
      <w:r w:rsidRPr="002F046F">
        <w:rPr>
          <w:rFonts w:ascii="NobelCE Lt" w:hAnsi="NobelCE Lt"/>
          <w:sz w:val="28"/>
          <w:szCs w:val="28"/>
        </w:rPr>
        <w:t>sedanu LS</w:t>
      </w:r>
      <w:r w:rsidR="006D3B00">
        <w:rPr>
          <w:rFonts w:ascii="NobelCE Lt" w:hAnsi="NobelCE Lt"/>
          <w:sz w:val="28"/>
          <w:szCs w:val="28"/>
        </w:rPr>
        <w:t xml:space="preserve"> </w:t>
      </w:r>
      <w:r w:rsidRPr="002F046F">
        <w:rPr>
          <w:rFonts w:ascii="NobelCE Lt" w:hAnsi="NobelCE Lt"/>
          <w:sz w:val="28"/>
          <w:szCs w:val="28"/>
        </w:rPr>
        <w:t>a kupé LC</w:t>
      </w:r>
    </w:p>
    <w:p w14:paraId="2A0F1EEC" w14:textId="77777777" w:rsidR="006D3B00" w:rsidRPr="002F046F" w:rsidRDefault="006D3B00" w:rsidP="006D3B00">
      <w:pPr>
        <w:pStyle w:val="Akapitzlist"/>
        <w:widowControl w:val="0"/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</w:p>
    <w:p w14:paraId="2121FE1B" w14:textId="77777777" w:rsidR="002F046F" w:rsidRDefault="002F046F" w:rsidP="0039590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  <w:r w:rsidRPr="002F046F">
        <w:rPr>
          <w:rFonts w:ascii="NobelCE Lt" w:hAnsi="NobelCE Lt"/>
          <w:sz w:val="28"/>
          <w:szCs w:val="28"/>
        </w:rPr>
        <w:t xml:space="preserve">Lexus LY 650 je první sériově </w:t>
      </w:r>
      <w:r w:rsidR="006D3B00">
        <w:rPr>
          <w:rFonts w:ascii="NobelCE Lt" w:hAnsi="NobelCE Lt"/>
          <w:sz w:val="28"/>
          <w:szCs w:val="28"/>
        </w:rPr>
        <w:t>vyráběnou lodí navrženou v duchu</w:t>
      </w:r>
      <w:r w:rsidRPr="002F046F">
        <w:rPr>
          <w:rFonts w:ascii="NobelCE Lt" w:hAnsi="NobelCE Lt"/>
          <w:sz w:val="28"/>
          <w:szCs w:val="28"/>
        </w:rPr>
        <w:t xml:space="preserve"> designov</w:t>
      </w:r>
      <w:r w:rsidR="006D3B00">
        <w:rPr>
          <w:rFonts w:ascii="NobelCE Lt" w:hAnsi="NobelCE Lt"/>
          <w:sz w:val="28"/>
          <w:szCs w:val="28"/>
        </w:rPr>
        <w:t>ého</w:t>
      </w:r>
      <w:r w:rsidRPr="002F046F">
        <w:rPr>
          <w:rFonts w:ascii="NobelCE Lt" w:hAnsi="NobelCE Lt"/>
          <w:sz w:val="28"/>
          <w:szCs w:val="28"/>
        </w:rPr>
        <w:t xml:space="preserve"> jazyk</w:t>
      </w:r>
      <w:r w:rsidR="006D3B00">
        <w:rPr>
          <w:rFonts w:ascii="NobelCE Lt" w:hAnsi="NobelCE Lt"/>
          <w:sz w:val="28"/>
          <w:szCs w:val="28"/>
        </w:rPr>
        <w:t>a</w:t>
      </w:r>
      <w:r w:rsidRPr="002F046F">
        <w:rPr>
          <w:rFonts w:ascii="NobelCE Lt" w:hAnsi="NobelCE Lt"/>
          <w:sz w:val="28"/>
          <w:szCs w:val="28"/>
        </w:rPr>
        <w:t xml:space="preserve"> Lexus ‚L-finesse‘</w:t>
      </w:r>
    </w:p>
    <w:p w14:paraId="301E1864" w14:textId="77777777" w:rsidR="006D3B00" w:rsidRPr="006D3B00" w:rsidRDefault="006D3B00" w:rsidP="006D3B00">
      <w:pPr>
        <w:pStyle w:val="Akapitzlist"/>
        <w:rPr>
          <w:rFonts w:ascii="NobelCE Lt" w:hAnsi="NobelCE Lt"/>
          <w:sz w:val="28"/>
          <w:szCs w:val="28"/>
        </w:rPr>
      </w:pPr>
    </w:p>
    <w:p w14:paraId="0D9A9237" w14:textId="4FB29378" w:rsidR="002F046F" w:rsidRDefault="002F046F" w:rsidP="0039590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  <w:r w:rsidRPr="002F046F">
        <w:rPr>
          <w:rFonts w:ascii="NobelCE Lt" w:hAnsi="NobelCE Lt"/>
          <w:sz w:val="28"/>
          <w:szCs w:val="28"/>
        </w:rPr>
        <w:t>Výpravy do sféry mimo automobilový průmysl navazují na působení značky Lexus v kulinářském světě, filmu, designu a dalších vybraných oblastí luxusních lifestylových produktů</w:t>
      </w:r>
    </w:p>
    <w:p w14:paraId="213ACE06" w14:textId="77777777" w:rsidR="00813915" w:rsidRPr="00813915" w:rsidRDefault="00813915" w:rsidP="00813915">
      <w:pPr>
        <w:pStyle w:val="Akapitzlist"/>
        <w:rPr>
          <w:rFonts w:ascii="NobelCE Lt" w:hAnsi="NobelCE Lt"/>
          <w:sz w:val="28"/>
          <w:szCs w:val="28"/>
        </w:rPr>
      </w:pPr>
    </w:p>
    <w:p w14:paraId="10D046DA" w14:textId="77777777" w:rsidR="00813915" w:rsidRPr="002F046F" w:rsidRDefault="00813915" w:rsidP="00813915">
      <w:pPr>
        <w:pStyle w:val="Akapitzlist"/>
        <w:widowControl w:val="0"/>
        <w:autoSpaceDE w:val="0"/>
        <w:autoSpaceDN w:val="0"/>
        <w:adjustRightInd w:val="0"/>
        <w:jc w:val="both"/>
        <w:rPr>
          <w:rFonts w:ascii="NobelCE Lt" w:hAnsi="NobelCE Lt"/>
          <w:sz w:val="28"/>
          <w:szCs w:val="28"/>
        </w:rPr>
      </w:pPr>
    </w:p>
    <w:p w14:paraId="7DE8124E" w14:textId="77777777" w:rsidR="00F87C11" w:rsidRPr="001377EF" w:rsidRDefault="00F87C11" w:rsidP="0039590B">
      <w:pPr>
        <w:widowControl w:val="0"/>
        <w:jc w:val="both"/>
        <w:rPr>
          <w:sz w:val="28"/>
          <w:szCs w:val="28"/>
        </w:rPr>
      </w:pPr>
    </w:p>
    <w:p w14:paraId="4B1341BB" w14:textId="77777777" w:rsidR="002F046F" w:rsidRPr="0070310F" w:rsidRDefault="00C42328" w:rsidP="0070310F">
      <w:pPr>
        <w:jc w:val="both"/>
        <w:rPr>
          <w:rFonts w:ascii="NobelCE Lt" w:hAnsi="NobelCE Lt"/>
          <w:szCs w:val="36"/>
        </w:rPr>
      </w:pPr>
      <w:r w:rsidRPr="0070310F">
        <w:rPr>
          <w:rFonts w:ascii="NobelCE Lt" w:hAnsi="NobelCE Lt"/>
          <w:szCs w:val="36"/>
        </w:rPr>
        <w:t xml:space="preserve">Lexus se opět vrací na moře, tentokrát </w:t>
      </w:r>
      <w:r w:rsidR="006D3B00">
        <w:rPr>
          <w:rFonts w:ascii="NobelCE Lt" w:hAnsi="NobelCE Lt"/>
          <w:szCs w:val="36"/>
        </w:rPr>
        <w:t>s jachtou LY 650 n</w:t>
      </w:r>
      <w:r w:rsidR="0050417D" w:rsidRPr="0070310F">
        <w:rPr>
          <w:rFonts w:ascii="NobelCE Lt" w:hAnsi="NobelCE Lt"/>
          <w:szCs w:val="36"/>
        </w:rPr>
        <w:t>avazuj</w:t>
      </w:r>
      <w:r w:rsidR="006D3B00">
        <w:rPr>
          <w:rFonts w:ascii="NobelCE Lt" w:hAnsi="NobelCE Lt"/>
          <w:szCs w:val="36"/>
        </w:rPr>
        <w:t>ící</w:t>
      </w:r>
      <w:r w:rsidR="0050417D" w:rsidRPr="0070310F">
        <w:rPr>
          <w:rFonts w:ascii="NobelCE Lt" w:hAnsi="NobelCE Lt"/>
          <w:szCs w:val="36"/>
        </w:rPr>
        <w:t xml:space="preserve"> na vývojovou studii Lexus Sport Yacht Concept. První sériová plavidla by měla být dokončena v druhé polovině roku 2019 a v témže roce by se měla představit v celosvětové premiéře. Na výstavbě jachty se podílela firma </w:t>
      </w:r>
      <w:r w:rsidR="002F046F" w:rsidRPr="0070310F">
        <w:rPr>
          <w:rFonts w:ascii="NobelCE Lt" w:hAnsi="NobelCE Lt"/>
          <w:szCs w:val="36"/>
        </w:rPr>
        <w:t>Marquis-Larson z</w:t>
      </w:r>
      <w:r w:rsidR="006D3B00">
        <w:rPr>
          <w:rFonts w:ascii="NobelCE Lt" w:hAnsi="NobelCE Lt"/>
          <w:szCs w:val="36"/>
        </w:rPr>
        <w:t xml:space="preserve"> amerického </w:t>
      </w:r>
      <w:r w:rsidR="0050417D" w:rsidRPr="0070310F">
        <w:rPr>
          <w:rFonts w:ascii="NobelCE Lt" w:hAnsi="NobelCE Lt"/>
          <w:szCs w:val="36"/>
        </w:rPr>
        <w:t xml:space="preserve">Wisconsinu, se kterou Lexus spolupracuje již 30 let. </w:t>
      </w:r>
    </w:p>
    <w:p w14:paraId="3CCD8577" w14:textId="77777777" w:rsidR="002F046F" w:rsidRPr="0070310F" w:rsidRDefault="002F046F" w:rsidP="0070310F">
      <w:pPr>
        <w:jc w:val="both"/>
        <w:rPr>
          <w:rFonts w:ascii="NobelCE Lt" w:hAnsi="NobelCE Lt"/>
          <w:szCs w:val="36"/>
        </w:rPr>
      </w:pPr>
    </w:p>
    <w:p w14:paraId="3385FA9A" w14:textId="77777777" w:rsidR="002F046F" w:rsidRPr="0070310F" w:rsidRDefault="0039590B" w:rsidP="0070310F">
      <w:pPr>
        <w:jc w:val="both"/>
        <w:rPr>
          <w:rFonts w:ascii="NobelCE Lt" w:hAnsi="NobelCE Lt"/>
          <w:b/>
          <w:szCs w:val="36"/>
        </w:rPr>
      </w:pPr>
      <w:r w:rsidRPr="0070310F">
        <w:rPr>
          <w:rFonts w:ascii="NobelCE Lt" w:hAnsi="NobelCE Lt"/>
          <w:b/>
          <w:szCs w:val="36"/>
        </w:rPr>
        <w:t xml:space="preserve">Přechod z automobilového světa do světa námořních plavidel </w:t>
      </w:r>
    </w:p>
    <w:p w14:paraId="35EBADA7" w14:textId="77777777" w:rsidR="002F046F" w:rsidRPr="0070310F" w:rsidRDefault="002F046F" w:rsidP="0070310F">
      <w:pPr>
        <w:jc w:val="both"/>
        <w:rPr>
          <w:rFonts w:ascii="NobelCE Lt" w:hAnsi="NobelCE Lt"/>
          <w:szCs w:val="36"/>
        </w:rPr>
      </w:pPr>
    </w:p>
    <w:p w14:paraId="2D71B2FD" w14:textId="77777777" w:rsidR="0039590B" w:rsidRPr="0070310F" w:rsidRDefault="002F046F" w:rsidP="0070310F">
      <w:pPr>
        <w:jc w:val="both"/>
        <w:rPr>
          <w:rFonts w:ascii="NobelCE Lt" w:hAnsi="NobelCE Lt"/>
          <w:szCs w:val="36"/>
        </w:rPr>
      </w:pPr>
      <w:r w:rsidRPr="0070310F">
        <w:rPr>
          <w:rFonts w:ascii="NobelCE Lt" w:hAnsi="NobelCE Lt"/>
          <w:szCs w:val="36"/>
        </w:rPr>
        <w:t xml:space="preserve">Řada nejpůsobivějších prvků 42' konceptu se promítla i do sériové verze LY 650. Nejnovější jachta Lexus o celkové délce </w:t>
      </w:r>
      <w:r w:rsidR="00A42771" w:rsidRPr="0070310F">
        <w:rPr>
          <w:rFonts w:ascii="NobelCE Lt" w:hAnsi="NobelCE Lt"/>
          <w:szCs w:val="36"/>
        </w:rPr>
        <w:t>19,8 metrů s maximální šířkou 5,8 metrů</w:t>
      </w:r>
      <w:r w:rsidRPr="0070310F">
        <w:rPr>
          <w:rFonts w:ascii="NobelCE Lt" w:hAnsi="NobelCE Lt"/>
          <w:szCs w:val="36"/>
        </w:rPr>
        <w:t xml:space="preserve"> zaujme</w:t>
      </w:r>
      <w:r w:rsidR="0039590B" w:rsidRPr="0070310F">
        <w:rPr>
          <w:rFonts w:ascii="NobelCE Lt" w:hAnsi="NobelCE Lt"/>
          <w:szCs w:val="36"/>
        </w:rPr>
        <w:t xml:space="preserve"> robustní a nápadnou přední</w:t>
      </w:r>
      <w:r w:rsidRPr="0070310F">
        <w:rPr>
          <w:rFonts w:ascii="NobelCE Lt" w:hAnsi="NobelCE Lt"/>
          <w:szCs w:val="36"/>
        </w:rPr>
        <w:t xml:space="preserve"> částí trupu, </w:t>
      </w:r>
      <w:r w:rsidR="0039590B" w:rsidRPr="0070310F">
        <w:rPr>
          <w:rFonts w:ascii="NobelCE Lt" w:hAnsi="NobelCE Lt"/>
          <w:szCs w:val="36"/>
        </w:rPr>
        <w:t>zaoblenou palubou</w:t>
      </w:r>
      <w:r w:rsidRPr="0070310F">
        <w:rPr>
          <w:rFonts w:ascii="NobelCE Lt" w:hAnsi="NobelCE Lt"/>
          <w:szCs w:val="36"/>
        </w:rPr>
        <w:t xml:space="preserve"> a zvýrazněnými boky na zádi plavidla. Při pohledu z boku je patrná linie střechy s elegantním náběh</w:t>
      </w:r>
      <w:r w:rsidR="00A42771" w:rsidRPr="0070310F">
        <w:rPr>
          <w:rFonts w:ascii="NobelCE Lt" w:hAnsi="NobelCE Lt"/>
          <w:szCs w:val="36"/>
        </w:rPr>
        <w:t>em</w:t>
      </w:r>
      <w:r w:rsidRPr="0070310F">
        <w:rPr>
          <w:rFonts w:ascii="NobelCE Lt" w:hAnsi="NobelCE Lt"/>
          <w:szCs w:val="36"/>
        </w:rPr>
        <w:t xml:space="preserve"> a klesáním, typická pro značku Lexus, přecházející ve stoupající široké boky v zadní části plavidla. </w:t>
      </w:r>
    </w:p>
    <w:p w14:paraId="7DEC6D25" w14:textId="77777777" w:rsidR="002F046F" w:rsidRDefault="005E7759" w:rsidP="0070310F">
      <w:pPr>
        <w:jc w:val="both"/>
        <w:rPr>
          <w:rFonts w:ascii="NobelCE Lt" w:hAnsi="NobelCE Lt"/>
          <w:szCs w:val="36"/>
        </w:rPr>
      </w:pPr>
      <w:r>
        <w:rPr>
          <w:rFonts w:ascii="NobelCE Lt" w:hAnsi="NobelCE Lt"/>
          <w:noProof/>
          <w:szCs w:val="36"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2339331" wp14:editId="6FA2A500">
                <wp:simplePos x="0" y="0"/>
                <wp:positionH relativeFrom="column">
                  <wp:posOffset>457835</wp:posOffset>
                </wp:positionH>
                <wp:positionV relativeFrom="paragraph">
                  <wp:posOffset>187325</wp:posOffset>
                </wp:positionV>
                <wp:extent cx="4914900" cy="2070100"/>
                <wp:effectExtent l="0" t="0" r="19050" b="26035"/>
                <wp:wrapTight wrapText="bothSides">
                  <wp:wrapPolygon edited="0">
                    <wp:start x="0" y="0"/>
                    <wp:lineTo x="0" y="21677"/>
                    <wp:lineTo x="21600" y="21677"/>
                    <wp:lineTo x="21600" y="0"/>
                    <wp:lineTo x="0" y="0"/>
                  </wp:wrapPolygon>
                </wp:wrapTight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E822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b/>
                                <w:sz w:val="20"/>
                                <w:u w:val="single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b/>
                                <w:sz w:val="20"/>
                                <w:u w:val="single"/>
                              </w:rPr>
                              <w:t>TECHNICKÉ SPECIFIKACE, předběžné údaje</w:t>
                            </w:r>
                          </w:p>
                          <w:p w14:paraId="29EE225D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 xml:space="preserve">Celková délka 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65’ 5”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19,96 m</w:t>
                            </w:r>
                          </w:p>
                          <w:p w14:paraId="2FA92499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Největší šířka lodi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18’ 8”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5,72 m</w:t>
                            </w:r>
                          </w:p>
                          <w:p w14:paraId="06EDE11F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</w:p>
                          <w:p w14:paraId="6EE20613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Motory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Volvo IPS 1200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Volvo IPS 1350</w:t>
                            </w:r>
                          </w:p>
                          <w:p w14:paraId="7010005C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</w:p>
                          <w:p w14:paraId="30EAB432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Palivová nádrž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1000 galonů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3785 litrů</w:t>
                            </w:r>
                          </w:p>
                          <w:p w14:paraId="370FB5DC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Nádrže na vodu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225 galonů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852 litrů</w:t>
                            </w:r>
                          </w:p>
                          <w:p w14:paraId="70C08EA3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Zásobníky paliva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170 galonů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643 litrů</w:t>
                            </w:r>
                          </w:p>
                          <w:p w14:paraId="262CFBA0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</w:p>
                          <w:p w14:paraId="26BDFF12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Soukromé kajuty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3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3</w:t>
                            </w:r>
                          </w:p>
                          <w:p w14:paraId="61EF1620" w14:textId="77777777" w:rsidR="005E7759" w:rsidRPr="005E7759" w:rsidRDefault="005E7759" w:rsidP="005E7759">
                            <w:pPr>
                              <w:rPr>
                                <w:rFonts w:ascii="NobelCE Lt" w:hAnsi="NobelCE Lt"/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Toalety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3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3</w:t>
                            </w:r>
                          </w:p>
                          <w:p w14:paraId="2C30B97F" w14:textId="77777777" w:rsidR="005E7759" w:rsidRDefault="005E7759" w:rsidP="005E7759">
                            <w:pPr>
                              <w:rPr>
                                <w:sz w:val="18"/>
                              </w:rPr>
                            </w:pP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>Míst na spaní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6</w:t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</w:r>
                            <w:r w:rsidRPr="005E7759">
                              <w:rPr>
                                <w:rFonts w:ascii="NobelCE Lt" w:hAnsi="NobelCE Lt"/>
                                <w:sz w:val="18"/>
                              </w:rPr>
                              <w:tab/>
                              <w:t>6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6.05pt;margin-top:14.75pt;width:387pt;height:163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">
                <v:textbox style="mso-fit-shape-to-text:t">
                  <w:txbxContent>
                    <w:p w14:paraId="1F1F78CD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b/>
                          <w:sz w:val="20"/>
                          <w:u w:val="single"/>
                        </w:rPr>
                      </w:pPr>
                      <w:r w:rsidRPr="005E7759">
                        <w:rPr>
                          <w:rFonts w:ascii="NobelCE Lt" w:hAnsi="NobelCE Lt"/>
                          <w:b/>
                          <w:sz w:val="20"/>
                          <w:u w:val="single"/>
                        </w:rPr>
                        <w:t>TECHNICKÉ SPECIFIKACE, předběžné údaje</w:t>
                      </w:r>
                    </w:p>
                    <w:p w14:paraId="156A1CE7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 xml:space="preserve">Celková délka 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65’ 5”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19,96 m</w:t>
                      </w:r>
                    </w:p>
                    <w:p w14:paraId="22E387E3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Největší šířka lodi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18’ 8”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5,72 m</w:t>
                      </w:r>
                    </w:p>
                    <w:p w14:paraId="0DE0CB43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</w:p>
                    <w:p w14:paraId="03E27ADF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Motory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Volvo IPS 1200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Volvo IPS 1350</w:t>
                      </w:r>
                    </w:p>
                    <w:p w14:paraId="229072F6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</w:p>
                    <w:p w14:paraId="1A9718D1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Palivová nádrž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1000 galonů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3785 litrů</w:t>
                      </w:r>
                    </w:p>
                    <w:p w14:paraId="319FCE69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Nádrže na vodu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225 galonů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852 litrů</w:t>
                      </w:r>
                    </w:p>
                    <w:p w14:paraId="5ABE6CBB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Zásobníky paliva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170 galonů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643 litrů</w:t>
                      </w:r>
                    </w:p>
                    <w:p w14:paraId="565E32ED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</w:p>
                    <w:p w14:paraId="76D484A3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Soukromé kajuty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3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3</w:t>
                      </w:r>
                    </w:p>
                    <w:p w14:paraId="51F1598D" w14:textId="77777777" w:rsidR="005E7759" w:rsidRPr="005E7759" w:rsidRDefault="005E7759" w:rsidP="005E7759">
                      <w:pPr>
                        <w:rPr>
                          <w:rFonts w:ascii="NobelCE Lt" w:hAnsi="NobelCE Lt"/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Toalety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3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3</w:t>
                      </w:r>
                    </w:p>
                    <w:p w14:paraId="33054546" w14:textId="77777777" w:rsidR="005E7759" w:rsidRDefault="005E7759" w:rsidP="005E7759">
                      <w:pPr>
                        <w:rPr>
                          <w:sz w:val="18"/>
                        </w:rPr>
                      </w:pPr>
                      <w:r w:rsidRPr="005E7759">
                        <w:rPr>
                          <w:rFonts w:ascii="NobelCE Lt" w:hAnsi="NobelCE Lt"/>
                          <w:sz w:val="18"/>
                        </w:rPr>
                        <w:t>Míst na spaní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6</w:t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</w:r>
                      <w:r w:rsidRPr="005E7759">
                        <w:rPr>
                          <w:rFonts w:ascii="NobelCE Lt" w:hAnsi="NobelCE Lt"/>
                          <w:sz w:val="18"/>
                        </w:rPr>
                        <w:tab/>
                        <w:t>6</w:t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243174" w14:textId="77777777" w:rsidR="005E7759" w:rsidRDefault="005E7759" w:rsidP="0070310F">
      <w:pPr>
        <w:jc w:val="both"/>
        <w:rPr>
          <w:rFonts w:ascii="NobelCE Lt" w:hAnsi="NobelCE Lt"/>
          <w:szCs w:val="36"/>
        </w:rPr>
      </w:pPr>
    </w:p>
    <w:p w14:paraId="718A29A5" w14:textId="77777777" w:rsidR="005E7759" w:rsidRPr="0070310F" w:rsidRDefault="005E7759" w:rsidP="0070310F">
      <w:pPr>
        <w:jc w:val="both"/>
        <w:rPr>
          <w:rFonts w:ascii="NobelCE Lt" w:hAnsi="NobelCE Lt"/>
          <w:szCs w:val="36"/>
        </w:rPr>
      </w:pPr>
    </w:p>
    <w:p w14:paraId="6F32C537" w14:textId="77777777" w:rsidR="00813915" w:rsidRDefault="00813915" w:rsidP="00813915">
      <w:pPr>
        <w:rPr>
          <w:rFonts w:ascii="NobelCE Lt" w:hAnsi="NobelCE Lt"/>
          <w:b/>
          <w:szCs w:val="36"/>
        </w:rPr>
      </w:pPr>
    </w:p>
    <w:p w14:paraId="5C8CA3FF" w14:textId="77777777" w:rsidR="00813915" w:rsidRDefault="00813915" w:rsidP="00813915">
      <w:pPr>
        <w:rPr>
          <w:rFonts w:ascii="NobelCE Lt" w:hAnsi="NobelCE Lt"/>
          <w:b/>
          <w:szCs w:val="36"/>
        </w:rPr>
      </w:pPr>
    </w:p>
    <w:p w14:paraId="2C6489C7" w14:textId="77777777" w:rsidR="00813915" w:rsidRDefault="00813915" w:rsidP="00813915">
      <w:pPr>
        <w:rPr>
          <w:rFonts w:ascii="NobelCE Lt" w:hAnsi="NobelCE Lt"/>
          <w:b/>
          <w:szCs w:val="36"/>
        </w:rPr>
      </w:pPr>
    </w:p>
    <w:p w14:paraId="19F8597C" w14:textId="77777777" w:rsidR="00813915" w:rsidRDefault="00813915" w:rsidP="00813915">
      <w:pPr>
        <w:rPr>
          <w:rFonts w:ascii="NobelCE Lt" w:hAnsi="NobelCE Lt"/>
          <w:b/>
          <w:szCs w:val="36"/>
        </w:rPr>
      </w:pPr>
    </w:p>
    <w:p w14:paraId="3F0C0D69" w14:textId="4C6B5D72" w:rsidR="00813915" w:rsidRDefault="00813915" w:rsidP="00813915">
      <w:pPr>
        <w:rPr>
          <w:rFonts w:ascii="NobelCE Lt" w:hAnsi="NobelCE Lt"/>
          <w:b/>
          <w:szCs w:val="36"/>
        </w:rPr>
      </w:pPr>
    </w:p>
    <w:p w14:paraId="4DECB242" w14:textId="0C7F71A2" w:rsidR="00813915" w:rsidRDefault="00813915" w:rsidP="00813915">
      <w:pPr>
        <w:rPr>
          <w:rFonts w:ascii="NobelCE Lt" w:hAnsi="NobelCE Lt"/>
          <w:b/>
          <w:szCs w:val="36"/>
        </w:rPr>
      </w:pPr>
    </w:p>
    <w:p w14:paraId="10371DA9" w14:textId="2D798CA6" w:rsidR="00813915" w:rsidRDefault="00813915" w:rsidP="00813915">
      <w:pPr>
        <w:rPr>
          <w:rFonts w:ascii="NobelCE Lt" w:hAnsi="NobelCE Lt"/>
          <w:b/>
          <w:szCs w:val="36"/>
        </w:rPr>
      </w:pPr>
    </w:p>
    <w:p w14:paraId="2B15953F" w14:textId="760B5CAA" w:rsidR="00813915" w:rsidRDefault="00813915" w:rsidP="00813915">
      <w:pPr>
        <w:rPr>
          <w:rFonts w:ascii="NobelCE Lt" w:hAnsi="NobelCE Lt"/>
          <w:b/>
          <w:szCs w:val="36"/>
        </w:rPr>
      </w:pPr>
    </w:p>
    <w:p w14:paraId="2CEECA3D" w14:textId="5FD14FF7" w:rsidR="00813915" w:rsidRDefault="00813915" w:rsidP="00813915">
      <w:pPr>
        <w:rPr>
          <w:rFonts w:ascii="NobelCE Lt" w:hAnsi="NobelCE Lt"/>
          <w:b/>
          <w:szCs w:val="36"/>
        </w:rPr>
      </w:pPr>
    </w:p>
    <w:p w14:paraId="7BF58D58" w14:textId="163C6846" w:rsidR="00813915" w:rsidRDefault="00813915" w:rsidP="00813915">
      <w:pPr>
        <w:rPr>
          <w:rFonts w:ascii="NobelCE Lt" w:hAnsi="NobelCE Lt"/>
          <w:b/>
          <w:szCs w:val="36"/>
        </w:rPr>
      </w:pPr>
    </w:p>
    <w:p w14:paraId="26791049" w14:textId="77777777" w:rsidR="00813915" w:rsidRDefault="00813915" w:rsidP="00813915">
      <w:pPr>
        <w:rPr>
          <w:rFonts w:ascii="NobelCE Lt" w:hAnsi="NobelCE Lt"/>
          <w:b/>
          <w:szCs w:val="36"/>
        </w:rPr>
      </w:pPr>
      <w:bookmarkStart w:id="0" w:name="_GoBack"/>
      <w:bookmarkEnd w:id="0"/>
    </w:p>
    <w:p w14:paraId="4E0B2139" w14:textId="678D9EA5" w:rsidR="002F046F" w:rsidRPr="0070310F" w:rsidRDefault="0039590B" w:rsidP="00813915">
      <w:pPr>
        <w:rPr>
          <w:rFonts w:ascii="NobelCE Lt" w:hAnsi="NobelCE Lt"/>
          <w:b/>
          <w:szCs w:val="36"/>
        </w:rPr>
      </w:pPr>
      <w:r w:rsidRPr="0070310F">
        <w:rPr>
          <w:rFonts w:ascii="NobelCE Lt" w:hAnsi="NobelCE Lt"/>
          <w:b/>
          <w:szCs w:val="36"/>
        </w:rPr>
        <w:t xml:space="preserve">Historie </w:t>
      </w:r>
    </w:p>
    <w:p w14:paraId="1C0662AC" w14:textId="77777777" w:rsidR="002F046F" w:rsidRPr="0070310F" w:rsidRDefault="002F046F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</w:p>
    <w:p w14:paraId="3C042798" w14:textId="77777777" w:rsidR="0039590B" w:rsidRPr="0070310F" w:rsidRDefault="0039590B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  <w:r w:rsidRPr="0070310F">
        <w:rPr>
          <w:rFonts w:ascii="NobelCE Lt" w:hAnsi="NobelCE Lt"/>
          <w:szCs w:val="36"/>
        </w:rPr>
        <w:t xml:space="preserve">Společnost Toyota Motor Corporation (TMC), pod kterou patří i značka Lexus vyvíjí prémiové jachty od roku </w:t>
      </w:r>
      <w:r w:rsidR="002F046F" w:rsidRPr="0070310F">
        <w:rPr>
          <w:rFonts w:ascii="NobelCE Lt" w:hAnsi="NobelCE Lt"/>
          <w:szCs w:val="36"/>
        </w:rPr>
        <w:t>1997</w:t>
      </w:r>
      <w:r w:rsidRPr="0070310F">
        <w:rPr>
          <w:rFonts w:ascii="NobelCE Lt" w:hAnsi="NobelCE Lt"/>
          <w:szCs w:val="36"/>
        </w:rPr>
        <w:t>.</w:t>
      </w:r>
      <w:r w:rsidR="002F046F" w:rsidRPr="0070310F">
        <w:rPr>
          <w:rFonts w:ascii="NobelCE Lt" w:hAnsi="NobelCE Lt"/>
          <w:szCs w:val="36"/>
        </w:rPr>
        <w:t xml:space="preserve"> </w:t>
      </w:r>
    </w:p>
    <w:p w14:paraId="066FB429" w14:textId="77777777" w:rsidR="0039590B" w:rsidRPr="0070310F" w:rsidRDefault="0039590B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</w:p>
    <w:p w14:paraId="065F3661" w14:textId="77777777" w:rsidR="002F046F" w:rsidRPr="0070310F" w:rsidRDefault="002F046F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  <w:r w:rsidRPr="0070310F">
        <w:rPr>
          <w:rFonts w:ascii="NobelCE Lt" w:hAnsi="NobelCE Lt"/>
          <w:szCs w:val="36"/>
        </w:rPr>
        <w:t>Řada Ponam divize Toyota Marine zahrnuje lodě p</w:t>
      </w:r>
      <w:r w:rsidR="00A42771" w:rsidRPr="0070310F">
        <w:rPr>
          <w:rFonts w:ascii="NobelCE Lt" w:hAnsi="NobelCE Lt"/>
          <w:szCs w:val="36"/>
        </w:rPr>
        <w:t>ro sportovní rybaření o délce 8 a 8,5 metru</w:t>
      </w:r>
      <w:r w:rsidRPr="0070310F">
        <w:rPr>
          <w:rFonts w:ascii="NobelCE Lt" w:hAnsi="NobelCE Lt"/>
          <w:szCs w:val="36"/>
        </w:rPr>
        <w:t>, a dále luxusní cestovní moto</w:t>
      </w:r>
      <w:r w:rsidR="00A42771" w:rsidRPr="0070310F">
        <w:rPr>
          <w:rFonts w:ascii="NobelCE Lt" w:hAnsi="NobelCE Lt"/>
          <w:szCs w:val="36"/>
        </w:rPr>
        <w:t xml:space="preserve">rové jachty </w:t>
      </w:r>
      <w:r w:rsidRPr="0070310F">
        <w:rPr>
          <w:rFonts w:ascii="NobelCE Lt" w:hAnsi="NobelCE Lt"/>
          <w:szCs w:val="36"/>
        </w:rPr>
        <w:t xml:space="preserve">s odolným a tichým trupem ze svařované hliníkové slitiny A5083. Modely Ponam jsou poháněny úspornými turbo-diesely, které vycházejí z pohonných jednotek určených pro luxusní SUV Lexus GX 300d (přeplňovaný naftový čtyřválec 3,0 litru), </w:t>
      </w:r>
      <w:r w:rsidR="002E2C4C">
        <w:rPr>
          <w:rFonts w:ascii="NobelCE Lt" w:hAnsi="NobelCE Lt"/>
          <w:szCs w:val="36"/>
        </w:rPr>
        <w:t>resp.</w:t>
      </w:r>
      <w:r w:rsidRPr="0070310F">
        <w:rPr>
          <w:rFonts w:ascii="NobelCE Lt" w:hAnsi="NobelCE Lt"/>
          <w:szCs w:val="36"/>
        </w:rPr>
        <w:t xml:space="preserve"> LX 450d (dvojitě přeplňovaný vidlicový osmiválec 4,5 litru). Modelová řada Toyota Ponam zaujímá přední místo na japonském trhu prémiových jachet.</w:t>
      </w:r>
    </w:p>
    <w:p w14:paraId="0DB5E488" w14:textId="77777777" w:rsidR="002F046F" w:rsidRPr="0070310F" w:rsidRDefault="002F046F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</w:p>
    <w:p w14:paraId="160CFF37" w14:textId="77777777" w:rsidR="0041160D" w:rsidRPr="0070310F" w:rsidRDefault="002F046F" w:rsidP="0070310F">
      <w:pPr>
        <w:autoSpaceDE w:val="0"/>
        <w:autoSpaceDN w:val="0"/>
        <w:adjustRightInd w:val="0"/>
        <w:jc w:val="both"/>
        <w:rPr>
          <w:rFonts w:ascii="NobelCE Lt" w:hAnsi="NobelCE Lt"/>
          <w:szCs w:val="36"/>
        </w:rPr>
      </w:pPr>
      <w:r w:rsidRPr="0070310F">
        <w:rPr>
          <w:rFonts w:ascii="NobelCE Lt" w:hAnsi="NobelCE Lt"/>
          <w:szCs w:val="36"/>
        </w:rPr>
        <w:t>V letech 1998 až 2002 divize Toyota Marine rovněž vyvíjela a vyráběla modelovou řadu Epic, zahrnující sklolaminátové sportovní čluny pro vodní lyžování a wakeboarding, především pro americký trh, poháněné výhradně benzínovými motory 1UZ-FE 4,0 litru V8 DOHC z luxusního sedanu Lexus LS 400.</w:t>
      </w:r>
    </w:p>
    <w:p w14:paraId="0BA7913D" w14:textId="77777777" w:rsidR="0041160D" w:rsidRDefault="0041160D" w:rsidP="0039590B">
      <w:pPr>
        <w:autoSpaceDE w:val="0"/>
        <w:autoSpaceDN w:val="0"/>
        <w:adjustRightInd w:val="0"/>
        <w:spacing w:line="360" w:lineRule="auto"/>
        <w:jc w:val="both"/>
        <w:rPr>
          <w:szCs w:val="36"/>
        </w:rPr>
      </w:pPr>
    </w:p>
    <w:p w14:paraId="367B83BD" w14:textId="77777777" w:rsidR="00F87C11" w:rsidRPr="0041160D" w:rsidRDefault="00DB30A9" w:rsidP="0039590B">
      <w:pPr>
        <w:autoSpaceDE w:val="0"/>
        <w:autoSpaceDN w:val="0"/>
        <w:adjustRightInd w:val="0"/>
        <w:spacing w:line="360" w:lineRule="auto"/>
        <w:jc w:val="both"/>
        <w:rPr>
          <w:szCs w:val="36"/>
        </w:rPr>
      </w:pPr>
      <w:r>
        <w:rPr>
          <w:rFonts w:ascii="NobelCE Lt" w:hAnsi="NobelCE Lt"/>
          <w:szCs w:val="36"/>
        </w:rPr>
        <w:t>Více informací:</w:t>
      </w:r>
    </w:p>
    <w:p w14:paraId="3B79B470" w14:textId="77777777" w:rsidR="00F87C11" w:rsidRDefault="00DB30A9" w:rsidP="0039590B">
      <w:pPr>
        <w:spacing w:before="120"/>
        <w:jc w:val="both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470C112B" w14:textId="77777777" w:rsidR="00F87C11" w:rsidRDefault="00DB30A9" w:rsidP="0039590B">
      <w:pPr>
        <w:spacing w:before="120"/>
        <w:jc w:val="both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34FB685A" w14:textId="77777777" w:rsidR="00F87C11" w:rsidRDefault="00F87C11" w:rsidP="0039590B">
      <w:pPr>
        <w:spacing w:before="120"/>
        <w:jc w:val="both"/>
        <w:rPr>
          <w:rFonts w:ascii="NobelCE Lt" w:hAnsi="NobelCE Lt" w:cs="Arial"/>
          <w:b/>
          <w:bCs/>
          <w:szCs w:val="22"/>
        </w:rPr>
      </w:pPr>
    </w:p>
    <w:p w14:paraId="2BDF1458" w14:textId="77777777" w:rsidR="00F87C11" w:rsidRDefault="00DB30A9" w:rsidP="0039590B">
      <w:pPr>
        <w:spacing w:before="120"/>
        <w:jc w:val="both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81C5108" w14:textId="77777777" w:rsidR="00F87C11" w:rsidRDefault="00DB30A9" w:rsidP="0039590B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615D6A4F" w14:textId="77777777" w:rsidR="00F87C11" w:rsidRDefault="00DB30A9" w:rsidP="0039590B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57C440B3" w14:textId="77777777" w:rsidR="00F87C11" w:rsidRDefault="00DB30A9" w:rsidP="0039590B">
      <w:pPr>
        <w:spacing w:before="120"/>
        <w:jc w:val="both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1EF2F15D" w14:textId="77777777" w:rsidR="00F87C11" w:rsidRDefault="00F87C11" w:rsidP="0039590B">
      <w:pPr>
        <w:spacing w:before="120"/>
        <w:jc w:val="both"/>
        <w:rPr>
          <w:rFonts w:ascii="NobelCE Lt" w:hAnsi="NobelCE Lt" w:cs="Arial"/>
          <w:szCs w:val="22"/>
        </w:rPr>
      </w:pPr>
    </w:p>
    <w:p w14:paraId="69224A8F" w14:textId="77777777" w:rsidR="00F87C11" w:rsidRDefault="00DB30A9" w:rsidP="0039590B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63933E9E" w14:textId="77777777" w:rsidR="00F87C11" w:rsidRDefault="00DB30A9" w:rsidP="0039590B">
      <w:pPr>
        <w:spacing w:before="120"/>
        <w:jc w:val="both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22D6181B" w14:textId="77777777" w:rsidR="00F87C11" w:rsidRPr="00435BBA" w:rsidRDefault="00813915" w:rsidP="0039590B">
      <w:pPr>
        <w:spacing w:before="120"/>
        <w:jc w:val="both"/>
        <w:rPr>
          <w:rStyle w:val="Internetovodkaz"/>
          <w:rFonts w:ascii="NobelCE Lt" w:hAnsi="NobelCE Lt"/>
          <w:szCs w:val="22"/>
          <w:lang w:val="de-DE" w:eastAsia="cs-CZ"/>
        </w:rPr>
      </w:pPr>
      <w:hyperlink r:id="rId7"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="00DB30A9" w:rsidRPr="00435BBA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 w:rsidR="00DB30A9"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 w:rsidR="00DB30A9" w:rsidRPr="00435BBA">
        <w:rPr>
          <w:rStyle w:val="Internetovodkaz"/>
        </w:rPr>
        <w:t xml:space="preserve"> </w:t>
      </w:r>
    </w:p>
    <w:p w14:paraId="0A677C15" w14:textId="77777777" w:rsidR="00F87C11" w:rsidRPr="00435BBA" w:rsidRDefault="00F87C11" w:rsidP="0039590B">
      <w:pPr>
        <w:spacing w:before="120"/>
        <w:jc w:val="both"/>
        <w:rPr>
          <w:rStyle w:val="Internetovodkaz"/>
          <w:rFonts w:ascii="NobelCE Lt" w:hAnsi="NobelCE Lt"/>
          <w:szCs w:val="22"/>
          <w:lang w:val="de-DE" w:eastAsia="cs-CZ"/>
        </w:rPr>
      </w:pPr>
    </w:p>
    <w:sectPr w:rsidR="00F87C11" w:rsidRPr="00435BBA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Book">
    <w:altName w:val="Calibri"/>
    <w:charset w:val="EE"/>
    <w:family w:val="auto"/>
    <w:pitch w:val="variable"/>
    <w:sig w:usb0="A0002AA7" w:usb1="0000004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belCE Lt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193" w:csb1="00000000"/>
  </w:font>
  <w:font w:name="Nobel-Regular">
    <w:altName w:val="Times New Roman"/>
    <w:charset w:val="EE"/>
    <w:family w:val="auto"/>
    <w:pitch w:val="variable"/>
    <w:sig w:usb0="A0002AA7" w:usb1="00000040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06969"/>
    <w:multiLevelType w:val="hybridMultilevel"/>
    <w:tmpl w:val="608C30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A68F4"/>
    <w:rsid w:val="001377EF"/>
    <w:rsid w:val="002161FE"/>
    <w:rsid w:val="002E2C4C"/>
    <w:rsid w:val="002F046F"/>
    <w:rsid w:val="003032F8"/>
    <w:rsid w:val="003154D4"/>
    <w:rsid w:val="0039590B"/>
    <w:rsid w:val="0041160D"/>
    <w:rsid w:val="00435BBA"/>
    <w:rsid w:val="0044408C"/>
    <w:rsid w:val="004B582F"/>
    <w:rsid w:val="0050417D"/>
    <w:rsid w:val="005E7759"/>
    <w:rsid w:val="006A2191"/>
    <w:rsid w:val="006D3B00"/>
    <w:rsid w:val="0070310F"/>
    <w:rsid w:val="00813915"/>
    <w:rsid w:val="008707C7"/>
    <w:rsid w:val="00A42771"/>
    <w:rsid w:val="00C32A05"/>
    <w:rsid w:val="00C42328"/>
    <w:rsid w:val="00DB30A9"/>
    <w:rsid w:val="00F67015"/>
    <w:rsid w:val="00F8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75C184A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ny"/>
    <w:qFormat/>
    <w:pPr>
      <w:suppressLineNumbers/>
    </w:pPr>
    <w:rPr>
      <w:rFonts w:cs="Mangal"/>
    </w:rPr>
  </w:style>
  <w:style w:type="paragraph" w:styleId="Bezodstpw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D4733"/>
    <w:rPr>
      <w:sz w:val="18"/>
      <w:szCs w:val="18"/>
    </w:rPr>
  </w:style>
  <w:style w:type="paragraph" w:styleId="Akapitzlist">
    <w:name w:val="List Paragraph"/>
    <w:basedOn w:val="Normalny"/>
    <w:uiPriority w:val="34"/>
    <w:qFormat/>
    <w:rsid w:val="00B74F9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ipercze">
    <w:name w:val="Hyperlink"/>
    <w:uiPriority w:val="99"/>
    <w:unhideWhenUsed/>
    <w:rsid w:val="001377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tka.jechova@toyota-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Lexus News</dc:creator>
  <dc:description/>
  <cp:lastModifiedBy>monika nimszke</cp:lastModifiedBy>
  <cp:revision>5</cp:revision>
  <cp:lastPrinted>2018-09-07T11:46:00Z</cp:lastPrinted>
  <dcterms:created xsi:type="dcterms:W3CDTF">2018-09-05T14:34:00Z</dcterms:created>
  <dcterms:modified xsi:type="dcterms:W3CDTF">2018-09-07T11:47:00Z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