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34159373"/>
    <w:bookmarkEnd w:id="0"/>
    <w:bookmarkStart w:id="1" w:name="_MON_1201001431"/>
    <w:bookmarkEnd w:id="1"/>
    <w:p w14:paraId="05C70D9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B7DF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8" o:title=""/>
          </v:shape>
          <o:OLEObject Type="Embed" ProgID="Word.Picture.8" ShapeID="_x0000_i1025" DrawAspect="Content" ObjectID="_1536647054" r:id="rId9"/>
        </w:object>
      </w:r>
    </w:p>
    <w:p w14:paraId="7E8A88F2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3B4AA2C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64F11001" w14:textId="77777777" w:rsidR="00AC3B86" w:rsidRPr="00D83903" w:rsidRDefault="00D83903" w:rsidP="00396F24">
      <w:pPr>
        <w:ind w:left="4248"/>
        <w:jc w:val="right"/>
        <w:rPr>
          <w:rFonts w:ascii="NobelCE Bk" w:hAnsi="NobelCE Bk" w:cs="Arial"/>
          <w:b/>
          <w:color w:val="996633"/>
          <w:sz w:val="20"/>
          <w:szCs w:val="20"/>
        </w:rPr>
      </w:pPr>
      <w:r w:rsidRPr="00D83903">
        <w:rPr>
          <w:rFonts w:ascii="NobelCE Bk" w:hAnsi="NobelCE Bk" w:cs="Arial"/>
          <w:b/>
          <w:color w:val="808080"/>
          <w:sz w:val="72"/>
          <w:szCs w:val="72"/>
        </w:rPr>
        <w:t>PRESS KIT</w:t>
      </w:r>
      <w:r w:rsidR="001A2D7C" w:rsidRPr="00D83903">
        <w:rPr>
          <w:rFonts w:ascii="NobelCE Bk" w:hAnsi="NobelCE Bk" w:cs="Arial"/>
          <w:b/>
          <w:color w:val="808080"/>
          <w:sz w:val="72"/>
          <w:szCs w:val="72"/>
        </w:rPr>
        <w:t xml:space="preserve"> </w:t>
      </w:r>
    </w:p>
    <w:p w14:paraId="0EFFF525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0C6C4CCF" w14:textId="77777777" w:rsidR="00AC3B86" w:rsidRPr="00252F6E" w:rsidRDefault="001056BA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29</w:t>
      </w:r>
      <w:r w:rsidR="00924F3C">
        <w:rPr>
          <w:rFonts w:ascii="NobelCE Lt" w:hAnsi="NobelCE Lt" w:cs="Arial"/>
        </w:rPr>
        <w:t xml:space="preserve">. </w:t>
      </w:r>
      <w:r w:rsidR="00D51055">
        <w:rPr>
          <w:rFonts w:ascii="NobelCE Lt" w:hAnsi="NobelCE Lt" w:cs="Arial"/>
        </w:rPr>
        <w:t>září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>
        <w:rPr>
          <w:rFonts w:ascii="NobelCE Lt" w:hAnsi="NobelCE Lt" w:cs="Arial"/>
        </w:rPr>
        <w:t>6</w:t>
      </w:r>
    </w:p>
    <w:p w14:paraId="31CB55CD" w14:textId="77777777" w:rsidR="00A60780" w:rsidRPr="00252F6E" w:rsidRDefault="00A60780" w:rsidP="00D16754">
      <w:pPr>
        <w:pStyle w:val="Lexusheader"/>
        <w:rPr>
          <w:rFonts w:ascii="NobelCE Bk" w:eastAsia="Times New Roman" w:hAnsi="NobelCE Bk" w:cs="Arial"/>
          <w:b/>
          <w:sz w:val="32"/>
          <w:szCs w:val="32"/>
          <w:lang w:val="cs-CZ" w:eastAsia="cs-CZ"/>
        </w:rPr>
      </w:pPr>
    </w:p>
    <w:p w14:paraId="60A76094" w14:textId="77777777" w:rsidR="00471CCD" w:rsidRPr="009D5397" w:rsidRDefault="003315A5" w:rsidP="00471CCD">
      <w:pPr>
        <w:pStyle w:val="Bezmezer"/>
        <w:rPr>
          <w:rFonts w:ascii="NobelCE Bk" w:hAnsi="NobelCE Bk"/>
          <w:b/>
          <w:sz w:val="56"/>
          <w:szCs w:val="56"/>
        </w:rPr>
      </w:pPr>
      <w:r w:rsidRPr="009D5397">
        <w:rPr>
          <w:rFonts w:ascii="NobelCE Bk" w:hAnsi="NobelCE Bk"/>
          <w:b/>
          <w:sz w:val="56"/>
          <w:szCs w:val="56"/>
        </w:rPr>
        <w:t xml:space="preserve">LEXUS </w:t>
      </w:r>
      <w:r w:rsidR="00D51055">
        <w:rPr>
          <w:rFonts w:ascii="NobelCE Bk" w:hAnsi="NobelCE Bk"/>
          <w:b/>
          <w:sz w:val="56"/>
          <w:szCs w:val="56"/>
        </w:rPr>
        <w:t xml:space="preserve">– AUTOSALON </w:t>
      </w:r>
      <w:r w:rsidR="001056BA">
        <w:rPr>
          <w:rFonts w:ascii="NobelCE Bk" w:hAnsi="NobelCE Bk"/>
          <w:b/>
          <w:sz w:val="56"/>
          <w:szCs w:val="56"/>
        </w:rPr>
        <w:t>PAŘÍŽ 2016</w:t>
      </w:r>
      <w:r w:rsidR="00D83903" w:rsidRPr="009D5397">
        <w:rPr>
          <w:rFonts w:ascii="NobelCE Bk" w:hAnsi="NobelCE Bk"/>
          <w:b/>
          <w:sz w:val="56"/>
          <w:szCs w:val="56"/>
        </w:rPr>
        <w:t xml:space="preserve"> </w:t>
      </w:r>
    </w:p>
    <w:p w14:paraId="1030F612" w14:textId="77777777" w:rsidR="00934110" w:rsidRPr="001A2D7C" w:rsidRDefault="00934110" w:rsidP="00934110">
      <w:pPr>
        <w:pStyle w:val="BasicParagraph"/>
        <w:rPr>
          <w:rFonts w:ascii="Arial" w:hAnsi="Arial"/>
          <w:caps/>
          <w:sz w:val="16"/>
          <w:lang w:val="cs-CZ"/>
        </w:rPr>
      </w:pPr>
    </w:p>
    <w:p w14:paraId="415CBE05" w14:textId="77777777" w:rsidR="00471CCD" w:rsidRPr="00471CCD" w:rsidRDefault="00471CCD" w:rsidP="00471CCD">
      <w:pPr>
        <w:pStyle w:val="Bezmezer"/>
      </w:pPr>
    </w:p>
    <w:p w14:paraId="1DF2A979" w14:textId="65FA53D6" w:rsidR="00264B3E" w:rsidRDefault="000E7A48" w:rsidP="000E7A48">
      <w:pPr>
        <w:pStyle w:val="Bezmezer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Lexus </w:t>
      </w:r>
      <w:r w:rsidR="00D51055">
        <w:rPr>
          <w:rFonts w:ascii="NobelCE Lt" w:hAnsi="NobelCE Lt"/>
          <w:sz w:val="24"/>
          <w:szCs w:val="24"/>
        </w:rPr>
        <w:t xml:space="preserve">představuje na </w:t>
      </w:r>
      <w:r w:rsidR="001056BA">
        <w:rPr>
          <w:rFonts w:ascii="NobelCE Lt" w:hAnsi="NobelCE Lt"/>
          <w:sz w:val="24"/>
          <w:szCs w:val="24"/>
        </w:rPr>
        <w:t>pařížském autosalonu 2016</w:t>
      </w:r>
      <w:r w:rsidR="00D51055">
        <w:rPr>
          <w:rFonts w:ascii="NobelCE Lt" w:hAnsi="NobelCE Lt"/>
          <w:sz w:val="24"/>
          <w:szCs w:val="24"/>
        </w:rPr>
        <w:t xml:space="preserve"> v</w:t>
      </w:r>
      <w:r w:rsidR="001056BA">
        <w:rPr>
          <w:rFonts w:ascii="NobelCE Lt" w:hAnsi="NobelCE Lt"/>
          <w:sz w:val="24"/>
          <w:szCs w:val="24"/>
        </w:rPr>
        <w:t>e světové premiéře koncept UX</w:t>
      </w:r>
      <w:r w:rsidR="00FA02B4">
        <w:rPr>
          <w:rFonts w:ascii="NobelCE Lt" w:hAnsi="NobelCE Lt"/>
          <w:sz w:val="24"/>
          <w:szCs w:val="24"/>
        </w:rPr>
        <w:t xml:space="preserve"> a</w:t>
      </w:r>
      <w:r w:rsidR="00264B3E">
        <w:rPr>
          <w:rFonts w:ascii="NobelCE Lt" w:hAnsi="NobelCE Lt"/>
          <w:sz w:val="24"/>
          <w:szCs w:val="24"/>
        </w:rPr>
        <w:t xml:space="preserve"> koncepci sedadel Lexus „Kinetic Seat“, v evropské premiéře pak nový model Lexus IS a model Lexus NX v provedení Sport. </w:t>
      </w:r>
    </w:p>
    <w:p w14:paraId="015C50C4" w14:textId="77777777" w:rsidR="00D51055" w:rsidRDefault="00D51055" w:rsidP="000E7A48">
      <w:pPr>
        <w:pStyle w:val="Bezmezer"/>
        <w:rPr>
          <w:rFonts w:ascii="NobelCE Lt" w:hAnsi="NobelCE Lt"/>
          <w:sz w:val="24"/>
          <w:szCs w:val="24"/>
        </w:rPr>
      </w:pPr>
    </w:p>
    <w:p w14:paraId="4D931F75" w14:textId="77777777" w:rsidR="00D51055" w:rsidRDefault="00D51055" w:rsidP="00D83903">
      <w:pPr>
        <w:pStyle w:val="Bezmezer"/>
        <w:rPr>
          <w:rFonts w:ascii="NobelCE Bk" w:hAnsi="NobelCE Bk"/>
          <w:sz w:val="40"/>
          <w:szCs w:val="40"/>
        </w:rPr>
      </w:pPr>
    </w:p>
    <w:p w14:paraId="202AA472" w14:textId="77777777" w:rsidR="00D83903" w:rsidRDefault="001056BA" w:rsidP="00D83903">
      <w:pPr>
        <w:pStyle w:val="Bezmezer"/>
        <w:rPr>
          <w:rFonts w:ascii="NobelCE Bk" w:hAnsi="NobelCE Bk"/>
          <w:sz w:val="40"/>
          <w:szCs w:val="40"/>
        </w:rPr>
      </w:pPr>
      <w:r w:rsidRPr="001056BA">
        <w:rPr>
          <w:rFonts w:ascii="NobelCE Bk" w:hAnsi="NobelCE Bk"/>
          <w:sz w:val="40"/>
          <w:szCs w:val="40"/>
        </w:rPr>
        <w:t>SVĚTOVÁ PREMIÉRA MODELU LEXUS UX CONCEPT</w:t>
      </w:r>
      <w:r w:rsidRPr="0056326D">
        <w:rPr>
          <w:rFonts w:ascii="NobelCE Bk" w:hAnsi="NobelCE Bk"/>
          <w:sz w:val="40"/>
          <w:szCs w:val="40"/>
        </w:rPr>
        <w:t xml:space="preserve"> </w:t>
      </w:r>
    </w:p>
    <w:p w14:paraId="1EF37FA9" w14:textId="77777777" w:rsidR="00D51055" w:rsidRDefault="00D51055" w:rsidP="00D51055">
      <w:pPr>
        <w:rPr>
          <w:rFonts w:ascii="NobelCE Lt" w:hAnsi="NobelCE Lt"/>
        </w:rPr>
      </w:pPr>
    </w:p>
    <w:p w14:paraId="7E752C7D" w14:textId="77777777" w:rsidR="001056BA" w:rsidRPr="001056BA" w:rsidRDefault="001056BA" w:rsidP="000F7B0D">
      <w:pPr>
        <w:numPr>
          <w:ilvl w:val="0"/>
          <w:numId w:val="20"/>
        </w:numPr>
        <w:rPr>
          <w:rFonts w:ascii="NobelCE Lt" w:eastAsia="MS Mincho" w:hAnsi="NobelCE Lt"/>
          <w:b/>
          <w:lang w:eastAsia="en-AU"/>
        </w:rPr>
      </w:pPr>
      <w:r w:rsidRPr="001056BA">
        <w:rPr>
          <w:rFonts w:ascii="NobelCE Lt" w:eastAsia="MS Mincho" w:hAnsi="NobelCE Lt"/>
          <w:b/>
          <w:lang w:eastAsia="en-AU"/>
        </w:rPr>
        <w:t>Vize budoucího kompaktního SUV značky Lexus</w:t>
      </w:r>
    </w:p>
    <w:p w14:paraId="7038BD28" w14:textId="77777777" w:rsidR="001056BA" w:rsidRPr="001056BA" w:rsidRDefault="00117F11" w:rsidP="000F7B0D">
      <w:pPr>
        <w:numPr>
          <w:ilvl w:val="0"/>
          <w:numId w:val="20"/>
        </w:numPr>
        <w:rPr>
          <w:rFonts w:ascii="NobelCE Lt" w:eastAsia="MS Mincho" w:hAnsi="NobelCE Lt"/>
          <w:b/>
          <w:lang w:eastAsia="en-AU"/>
        </w:rPr>
      </w:pPr>
      <w:r>
        <w:rPr>
          <w:rFonts w:ascii="NobelCE Lt" w:eastAsia="MS Mincho" w:hAnsi="NobelCE Lt"/>
          <w:b/>
          <w:lang w:eastAsia="en-AU"/>
        </w:rPr>
        <w:t xml:space="preserve">Jedinečný designový koncept s dokonale sladěným </w:t>
      </w:r>
      <w:r w:rsidR="001056BA" w:rsidRPr="001056BA">
        <w:rPr>
          <w:rFonts w:ascii="NobelCE Lt" w:eastAsia="MS Mincho" w:hAnsi="NobelCE Lt"/>
          <w:b/>
          <w:lang w:eastAsia="en-AU"/>
        </w:rPr>
        <w:t>exteriér</w:t>
      </w:r>
      <w:r>
        <w:rPr>
          <w:rFonts w:ascii="NobelCE Lt" w:eastAsia="MS Mincho" w:hAnsi="NobelCE Lt"/>
          <w:b/>
          <w:lang w:eastAsia="en-AU"/>
        </w:rPr>
        <w:t>em a interiérem</w:t>
      </w:r>
    </w:p>
    <w:p w14:paraId="4BBD8A36" w14:textId="77777777" w:rsidR="001056BA" w:rsidRPr="001056BA" w:rsidRDefault="001056BA" w:rsidP="000F7B0D">
      <w:pPr>
        <w:numPr>
          <w:ilvl w:val="0"/>
          <w:numId w:val="20"/>
        </w:numPr>
        <w:rPr>
          <w:rFonts w:ascii="NobelCE Lt" w:eastAsia="MS Mincho" w:hAnsi="NobelCE Lt"/>
          <w:b/>
          <w:lang w:eastAsia="en-AU"/>
        </w:rPr>
      </w:pPr>
      <w:r w:rsidRPr="001056BA">
        <w:rPr>
          <w:rFonts w:ascii="NobelCE Lt" w:eastAsia="MS Mincho" w:hAnsi="NobelCE Lt"/>
          <w:b/>
          <w:lang w:eastAsia="en-AU"/>
        </w:rPr>
        <w:t>Pokroková technologie 3D rozhraní (HMI) pro co největší požitek z jízdy</w:t>
      </w:r>
    </w:p>
    <w:p w14:paraId="416C1C00" w14:textId="77777777" w:rsidR="001056BA" w:rsidRPr="001056BA" w:rsidRDefault="001056BA" w:rsidP="000F7B0D">
      <w:pPr>
        <w:numPr>
          <w:ilvl w:val="0"/>
          <w:numId w:val="20"/>
        </w:numPr>
        <w:rPr>
          <w:rFonts w:ascii="NobelCE Lt" w:eastAsia="MS Mincho" w:hAnsi="NobelCE Lt"/>
          <w:b/>
          <w:lang w:eastAsia="en-AU"/>
        </w:rPr>
      </w:pPr>
      <w:r w:rsidRPr="001056BA">
        <w:rPr>
          <w:rFonts w:ascii="NobelCE Lt" w:eastAsia="MS Mincho" w:hAnsi="NobelCE Lt"/>
          <w:b/>
          <w:lang w:eastAsia="en-AU"/>
        </w:rPr>
        <w:t>První designov</w:t>
      </w:r>
      <w:r w:rsidR="00117F11">
        <w:rPr>
          <w:rFonts w:ascii="NobelCE Lt" w:eastAsia="MS Mincho" w:hAnsi="NobelCE Lt"/>
          <w:b/>
          <w:lang w:eastAsia="en-AU"/>
        </w:rPr>
        <w:t xml:space="preserve">é ztvárnění </w:t>
      </w:r>
      <w:r w:rsidRPr="001056BA">
        <w:rPr>
          <w:rFonts w:ascii="NobelCE Lt" w:eastAsia="MS Mincho" w:hAnsi="NobelCE Lt"/>
          <w:b/>
          <w:lang w:eastAsia="en-AU"/>
        </w:rPr>
        <w:t xml:space="preserve">průkopnické technologie sedadel Lexus Kinetic Seat </w:t>
      </w:r>
    </w:p>
    <w:p w14:paraId="6B7AF26E" w14:textId="77777777" w:rsidR="001056BA" w:rsidRPr="001056BA" w:rsidRDefault="001056BA" w:rsidP="000F7B0D">
      <w:pPr>
        <w:numPr>
          <w:ilvl w:val="0"/>
          <w:numId w:val="20"/>
        </w:numPr>
        <w:rPr>
          <w:rFonts w:ascii="NobelCE Lt" w:eastAsia="MS Mincho" w:hAnsi="NobelCE Lt"/>
          <w:b/>
          <w:lang w:eastAsia="en-AU"/>
        </w:rPr>
      </w:pPr>
      <w:r w:rsidRPr="001056BA">
        <w:rPr>
          <w:rFonts w:ascii="NobelCE Lt" w:eastAsia="MS Mincho" w:hAnsi="NobelCE Lt"/>
          <w:b/>
          <w:lang w:eastAsia="en-AU"/>
        </w:rPr>
        <w:t>P</w:t>
      </w:r>
      <w:r w:rsidR="00117F11">
        <w:rPr>
          <w:rFonts w:ascii="NobelCE Lt" w:eastAsia="MS Mincho" w:hAnsi="NobelCE Lt"/>
          <w:b/>
          <w:lang w:eastAsia="en-AU"/>
        </w:rPr>
        <w:t xml:space="preserve">ochází </w:t>
      </w:r>
      <w:r w:rsidRPr="001056BA">
        <w:rPr>
          <w:rFonts w:ascii="NobelCE Lt" w:eastAsia="MS Mincho" w:hAnsi="NobelCE Lt"/>
          <w:b/>
          <w:lang w:eastAsia="en-AU"/>
        </w:rPr>
        <w:t xml:space="preserve">z evropského vývojového centra designu (ED²) automobilky Lexus </w:t>
      </w:r>
    </w:p>
    <w:p w14:paraId="66B35C45" w14:textId="77777777" w:rsidR="001056BA" w:rsidRDefault="001056BA" w:rsidP="00D51055">
      <w:pPr>
        <w:autoSpaceDE w:val="0"/>
        <w:autoSpaceDN w:val="0"/>
        <w:adjustRightInd w:val="0"/>
        <w:rPr>
          <w:rFonts w:ascii="NobelCE Lt" w:hAnsi="NobelCE Lt"/>
        </w:rPr>
      </w:pPr>
    </w:p>
    <w:p w14:paraId="09E7BC14" w14:textId="77777777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Na letošním autosalonu v Paříži se ve světové premiéře představuje nový koncepční model kompaktního crossoveru s označením UX Concept, zhmotňující vizi budoucího kompaktního SUV značky Lexus. Studie UX Concept, původem z evropského vývojového centra designu (ED²) Lexus v jižní Francii, je dalším evolučním krokem v designu vozů Lexus, který zároveň mění obvyklá měřítka požitku z jízdy. </w:t>
      </w:r>
    </w:p>
    <w:p w14:paraId="1A270C28" w14:textId="77777777" w:rsidR="00652F9E" w:rsidRDefault="00652F9E" w:rsidP="001056BA">
      <w:pPr>
        <w:ind w:left="720"/>
        <w:rPr>
          <w:rFonts w:ascii="NobelCE Lt" w:hAnsi="NobelCE Lt"/>
          <w:i/>
        </w:rPr>
      </w:pPr>
    </w:p>
    <w:p w14:paraId="670A198B" w14:textId="44580726" w:rsidR="001056BA" w:rsidRPr="001056BA" w:rsidRDefault="001056BA" w:rsidP="00117F11">
      <w:pPr>
        <w:rPr>
          <w:rFonts w:ascii="NobelCE Lt" w:hAnsi="NobelCE Lt"/>
          <w:i/>
        </w:rPr>
      </w:pPr>
      <w:r w:rsidRPr="001056BA">
        <w:rPr>
          <w:rFonts w:ascii="NobelCE Lt" w:hAnsi="NobelCE Lt"/>
          <w:i/>
        </w:rPr>
        <w:t>„Největší výzvou pro každého návrháře je vytvořit něco nového a originálního, avšak způsobem, který dokáže oslovit zá</w:t>
      </w:r>
      <w:r w:rsidR="00117F11">
        <w:rPr>
          <w:rFonts w:ascii="NobelCE Lt" w:hAnsi="NobelCE Lt"/>
          <w:i/>
        </w:rPr>
        <w:t>kazníka a odpovídá dané značce,</w:t>
      </w:r>
      <w:r w:rsidR="00197531">
        <w:rPr>
          <w:rFonts w:ascii="NobelCE Lt" w:hAnsi="NobelCE Lt"/>
          <w:i/>
        </w:rPr>
        <w:t xml:space="preserve">“ </w:t>
      </w:r>
      <w:r w:rsidR="00117F11">
        <w:rPr>
          <w:rFonts w:ascii="NobelCE Lt" w:hAnsi="NobelCE Lt"/>
        </w:rPr>
        <w:t xml:space="preserve">říká ke studii UX </w:t>
      </w:r>
      <w:r w:rsidR="00117F11" w:rsidRPr="00117F11">
        <w:rPr>
          <w:rFonts w:ascii="NobelCE Lt" w:hAnsi="NobelCE Lt"/>
        </w:rPr>
        <w:t>Simon Humph</w:t>
      </w:r>
      <w:r w:rsidR="00AE006C">
        <w:rPr>
          <w:rFonts w:ascii="NobelCE Lt" w:hAnsi="NobelCE Lt"/>
        </w:rPr>
        <w:t>r</w:t>
      </w:r>
      <w:r w:rsidR="00117F11" w:rsidRPr="00117F11">
        <w:rPr>
          <w:rFonts w:ascii="NobelCE Lt" w:hAnsi="NobelCE Lt"/>
        </w:rPr>
        <w:t>ies, prezident ED²</w:t>
      </w:r>
      <w:r w:rsidR="00117F11">
        <w:rPr>
          <w:rFonts w:ascii="NobelCE Lt" w:hAnsi="NobelCE Lt"/>
        </w:rPr>
        <w:t xml:space="preserve">, a doplňuje: </w:t>
      </w:r>
      <w:r w:rsidR="00117F11" w:rsidRPr="00117F11">
        <w:rPr>
          <w:rFonts w:ascii="NobelCE Lt" w:hAnsi="NobelCE Lt"/>
          <w:i/>
        </w:rPr>
        <w:t>„</w:t>
      </w:r>
      <w:r w:rsidRPr="001056BA">
        <w:rPr>
          <w:rFonts w:ascii="NobelCE Lt" w:hAnsi="NobelCE Lt"/>
          <w:i/>
        </w:rPr>
        <w:t xml:space="preserve">Můžeme </w:t>
      </w:r>
      <w:r w:rsidR="00197531">
        <w:rPr>
          <w:rFonts w:ascii="NobelCE Lt" w:hAnsi="NobelCE Lt"/>
          <w:i/>
        </w:rPr>
        <w:t>říct,</w:t>
      </w:r>
      <w:r w:rsidRPr="001056BA">
        <w:rPr>
          <w:rFonts w:ascii="NobelCE Lt" w:hAnsi="NobelCE Lt"/>
          <w:i/>
        </w:rPr>
        <w:t xml:space="preserve"> že tento </w:t>
      </w:r>
      <w:r w:rsidR="00117F11">
        <w:rPr>
          <w:rFonts w:ascii="NobelCE Lt" w:hAnsi="NobelCE Lt"/>
          <w:i/>
        </w:rPr>
        <w:t>koncept</w:t>
      </w:r>
      <w:r w:rsidRPr="001056BA">
        <w:rPr>
          <w:rFonts w:ascii="NobelCE Lt" w:hAnsi="NobelCE Lt"/>
          <w:i/>
        </w:rPr>
        <w:t xml:space="preserve"> je dalším náznakem možného designového přístupu Lexus</w:t>
      </w:r>
      <w:r w:rsidR="00117F11">
        <w:rPr>
          <w:rFonts w:ascii="NobelCE Lt" w:hAnsi="NobelCE Lt"/>
          <w:i/>
        </w:rPr>
        <w:t>u</w:t>
      </w:r>
      <w:r w:rsidRPr="001056BA">
        <w:rPr>
          <w:rFonts w:ascii="NobelCE Lt" w:hAnsi="NobelCE Lt"/>
          <w:i/>
        </w:rPr>
        <w:t xml:space="preserve"> k naplňování uvedených kritérií. Představuje progresivní, markantní, avšak současně i výtvarně zvládnutý prémiový </w:t>
      </w:r>
      <w:r w:rsidR="00117F11">
        <w:rPr>
          <w:rFonts w:ascii="NobelCE Lt" w:hAnsi="NobelCE Lt"/>
          <w:i/>
        </w:rPr>
        <w:t>vůz</w:t>
      </w:r>
      <w:r w:rsidRPr="001056BA">
        <w:rPr>
          <w:rFonts w:ascii="NobelCE Lt" w:hAnsi="NobelCE Lt"/>
          <w:i/>
        </w:rPr>
        <w:t>, který opět posiluje jedinečnou a odvážnou pozici značky Lexus.“</w:t>
      </w:r>
    </w:p>
    <w:p w14:paraId="0982E07C" w14:textId="77777777" w:rsidR="00652F9E" w:rsidRDefault="00652F9E" w:rsidP="001056BA">
      <w:pPr>
        <w:rPr>
          <w:rFonts w:ascii="NobelCE Lt" w:hAnsi="NobelCE Lt"/>
        </w:rPr>
      </w:pPr>
    </w:p>
    <w:p w14:paraId="7CEAB99A" w14:textId="77777777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Studie UX Concept prostřednictvím nové nápadné interpretace typických designových prvků Lexus odráží </w:t>
      </w:r>
      <w:r w:rsidR="00117F11">
        <w:rPr>
          <w:rFonts w:ascii="NobelCE Lt" w:hAnsi="NobelCE Lt"/>
        </w:rPr>
        <w:t xml:space="preserve">snahu </w:t>
      </w:r>
      <w:r w:rsidRPr="001056BA">
        <w:rPr>
          <w:rFonts w:ascii="NobelCE Lt" w:hAnsi="NobelCE Lt"/>
        </w:rPr>
        <w:t>značky, aby každý z jejích modelů vyjadřoval jedinečný a nezávislý chara</w:t>
      </w:r>
      <w:r w:rsidR="00117F11">
        <w:rPr>
          <w:rFonts w:ascii="NobelCE Lt" w:hAnsi="NobelCE Lt"/>
        </w:rPr>
        <w:t>kter postavený na silné koncepci. T</w:t>
      </w:r>
      <w:r w:rsidRPr="001056BA">
        <w:rPr>
          <w:rFonts w:ascii="NobelCE Lt" w:hAnsi="NobelCE Lt"/>
        </w:rPr>
        <w:t>a je zde vyjádřena pomocí specifického přístupu k návrhu „zevnitř ven“ a tzv. dekonstruovaného ztvárnění interiéru.</w:t>
      </w:r>
      <w:bookmarkStart w:id="2" w:name="_GoBack"/>
      <w:bookmarkEnd w:id="2"/>
    </w:p>
    <w:p w14:paraId="53DF50DD" w14:textId="1483495A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lastRenderedPageBreak/>
        <w:t>Výrazný design je spojen</w:t>
      </w:r>
      <w:r w:rsidR="00117F11">
        <w:rPr>
          <w:rFonts w:ascii="NobelCE Lt" w:hAnsi="NobelCE Lt"/>
        </w:rPr>
        <w:t xml:space="preserve">ý </w:t>
      </w:r>
      <w:r w:rsidRPr="001056BA">
        <w:rPr>
          <w:rFonts w:ascii="NobelCE Lt" w:hAnsi="NobelCE Lt"/>
        </w:rPr>
        <w:t xml:space="preserve">s nápaditými progresivními technologiemi, které mají cestujícím na palubě vozu přinést mimořádně hluboký zážitek. </w:t>
      </w:r>
      <w:r w:rsidR="00117F11">
        <w:rPr>
          <w:rFonts w:ascii="NobelCE Lt" w:hAnsi="NobelCE Lt"/>
        </w:rPr>
        <w:t>U</w:t>
      </w:r>
      <w:r w:rsidRPr="001056BA">
        <w:rPr>
          <w:rFonts w:ascii="NobelCE Lt" w:hAnsi="NobelCE Lt"/>
        </w:rPr>
        <w:t>platňuje</w:t>
      </w:r>
      <w:r w:rsidR="00117F11">
        <w:rPr>
          <w:rFonts w:ascii="NobelCE Lt" w:hAnsi="NobelCE Lt"/>
        </w:rPr>
        <w:t xml:space="preserve"> se zde</w:t>
      </w:r>
      <w:r w:rsidRPr="001056BA">
        <w:rPr>
          <w:rFonts w:ascii="NobelCE Lt" w:hAnsi="NobelCE Lt"/>
        </w:rPr>
        <w:t xml:space="preserve"> ergonomie kokpitu</w:t>
      </w:r>
      <w:r w:rsidR="00197531">
        <w:rPr>
          <w:rFonts w:ascii="NobelCE Lt" w:hAnsi="NobelCE Lt"/>
        </w:rPr>
        <w:t>,</w:t>
      </w:r>
      <w:r w:rsidRPr="001056BA">
        <w:rPr>
          <w:rFonts w:ascii="NobelCE Lt" w:hAnsi="NobelCE Lt"/>
        </w:rPr>
        <w:t xml:space="preserve"> odvíjející se od potřeb řidiče sedícího za volantem, společně s pokrokovou technologií 3D rozhraní (HMI). </w:t>
      </w:r>
    </w:p>
    <w:p w14:paraId="392E1B4E" w14:textId="77777777" w:rsidR="00117F11" w:rsidRPr="001056BA" w:rsidRDefault="00117F11" w:rsidP="001056BA">
      <w:pPr>
        <w:rPr>
          <w:rFonts w:ascii="NobelCE Lt" w:hAnsi="NobelCE Lt"/>
        </w:rPr>
      </w:pPr>
    </w:p>
    <w:p w14:paraId="38DA6431" w14:textId="77777777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Koncept zároveň jako první představuje průkopnickou technologii sedadel Kinetic Seat, která Lexus navrhl v reakci na nové poznatky ohledně optimálního sezení při cestování automobilem. </w:t>
      </w:r>
    </w:p>
    <w:p w14:paraId="2D427203" w14:textId="77777777" w:rsidR="00117F11" w:rsidRPr="001056BA" w:rsidRDefault="00117F11" w:rsidP="001056BA">
      <w:pPr>
        <w:rPr>
          <w:rFonts w:ascii="NobelCE Lt" w:hAnsi="NobelCE Lt"/>
        </w:rPr>
      </w:pPr>
    </w:p>
    <w:p w14:paraId="691C9822" w14:textId="77777777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Studie Lexus UX Concept staví na bezkonkurenčních znalostech trhu SUV, kterými se Lexus může pochlubit. Automobilka Lexus zakládala segment SUV již v roce 1990 s modely RX a LX, kdy se jí jako první v odvětví podařilo spojit schopnosti jízdy v terénu s luxusem prémiové značky. V roce 2004 se představil hybridní model RX, který byl celosvětově prvním prémiovým SUV s hybridním pohonem. Středně velké SUV s označením NX v roce 2014 ukázalo, že atribut ‘Utility’ (tedy užitkovost) se nevylučuje s jedinečným a pozoruhodným designem. </w:t>
      </w:r>
    </w:p>
    <w:p w14:paraId="09052F4A" w14:textId="77777777" w:rsidR="00117F11" w:rsidRPr="001056BA" w:rsidRDefault="00117F11" w:rsidP="001056BA">
      <w:pPr>
        <w:rPr>
          <w:rFonts w:ascii="NobelCE Lt" w:hAnsi="NobelCE Lt"/>
        </w:rPr>
      </w:pPr>
    </w:p>
    <w:p w14:paraId="26F3E2AE" w14:textId="77777777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Prémiová SUV nižší střední třídy představují nejrychleji rostoucí automobilový segment v Evropě. Ten je předurčen</w:t>
      </w:r>
      <w:r w:rsidR="00DE05A2">
        <w:rPr>
          <w:rFonts w:ascii="NobelCE Lt" w:hAnsi="NobelCE Lt"/>
        </w:rPr>
        <w:t>ý</w:t>
      </w:r>
      <w:r w:rsidRPr="001056BA">
        <w:rPr>
          <w:rFonts w:ascii="NobelCE Lt" w:hAnsi="NobelCE Lt"/>
        </w:rPr>
        <w:t xml:space="preserve"> k tomu, aby se stal vůbec nejdůležitějším segmentem SUV, neboť mladí zákazníci míří výše v touze po originálním ztvárnění, všestranném interiéru a požitku z jízdy, zatímco typičtí zájemci o vozy prémiové kategorie zaměřují svoji pozornost na menší vozy, ovšem bez kompromisů v otázkách pohodlí, polohy za volantem nebo prostornosti. </w:t>
      </w:r>
    </w:p>
    <w:p w14:paraId="754BFAE9" w14:textId="77777777" w:rsidR="00117F11" w:rsidRPr="001056BA" w:rsidRDefault="00117F11" w:rsidP="001056BA">
      <w:pPr>
        <w:rPr>
          <w:rFonts w:ascii="NobelCE Lt" w:hAnsi="NobelCE Lt"/>
        </w:rPr>
      </w:pPr>
    </w:p>
    <w:p w14:paraId="7EE5A457" w14:textId="55EF67CF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Studie UX Concept podtrhuje záměr automobilky Lexus přitáhnout ke značce ještě širší spektrum nových a mladších uživa</w:t>
      </w:r>
      <w:r w:rsidR="00197531">
        <w:rPr>
          <w:rFonts w:ascii="NobelCE Lt" w:hAnsi="NobelCE Lt"/>
        </w:rPr>
        <w:t>telů z měst</w:t>
      </w:r>
      <w:r w:rsidRPr="001056BA">
        <w:rPr>
          <w:rFonts w:ascii="NobelCE Lt" w:hAnsi="NobelCE Lt"/>
        </w:rPr>
        <w:t xml:space="preserve"> žijících v propojeném prostředí – tzv. 'Urbanitů' – kteří vůz Lexus doposud nikdy nevlastnili. </w:t>
      </w:r>
    </w:p>
    <w:p w14:paraId="4ADEACCB" w14:textId="77777777" w:rsidR="001056BA" w:rsidRPr="001056BA" w:rsidRDefault="001056BA" w:rsidP="001056BA">
      <w:pPr>
        <w:rPr>
          <w:rFonts w:ascii="NobelCE Lt" w:hAnsi="NobelCE Lt"/>
        </w:rPr>
      </w:pPr>
    </w:p>
    <w:p w14:paraId="5B97C614" w14:textId="77777777" w:rsidR="001056BA" w:rsidRPr="00DE05A2" w:rsidRDefault="001056BA" w:rsidP="001056BA">
      <w:pPr>
        <w:rPr>
          <w:rFonts w:ascii="NobelCE Lt" w:hAnsi="NobelCE Lt"/>
          <w:b/>
        </w:rPr>
      </w:pPr>
      <w:r w:rsidRPr="00DE05A2">
        <w:rPr>
          <w:rFonts w:ascii="NobelCE Lt" w:hAnsi="NobelCE Lt"/>
          <w:b/>
        </w:rPr>
        <w:t>R</w:t>
      </w:r>
      <w:r w:rsidR="00DE05A2">
        <w:rPr>
          <w:rFonts w:ascii="NobelCE Lt" w:hAnsi="NobelCE Lt"/>
          <w:b/>
        </w:rPr>
        <w:t>adikálně odlišné ztvárnění kompaktního crossoveru</w:t>
      </w:r>
    </w:p>
    <w:p w14:paraId="6896E167" w14:textId="13F1D640" w:rsidR="001056BA" w:rsidRPr="00DE05A2" w:rsidRDefault="00DE05A2" w:rsidP="00DE05A2">
      <w:pPr>
        <w:rPr>
          <w:rFonts w:ascii="NobelCE Lt" w:hAnsi="NobelCE Lt"/>
        </w:rPr>
      </w:pPr>
      <w:r>
        <w:rPr>
          <w:rFonts w:ascii="NobelCE Lt" w:hAnsi="NobelCE Lt"/>
          <w:i/>
        </w:rPr>
        <w:t>„Naším úkolem</w:t>
      </w:r>
      <w:r w:rsidR="001056BA" w:rsidRPr="001056BA">
        <w:rPr>
          <w:rFonts w:ascii="NobelCE Lt" w:hAnsi="NobelCE Lt"/>
          <w:i/>
        </w:rPr>
        <w:t xml:space="preserve"> bylo navrhnout no</w:t>
      </w:r>
      <w:r>
        <w:rPr>
          <w:rFonts w:ascii="NobelCE Lt" w:hAnsi="NobelCE Lt"/>
          <w:i/>
        </w:rPr>
        <w:t xml:space="preserve">vý druh kompaktního crossoveru. Tedy </w:t>
      </w:r>
      <w:r w:rsidR="001056BA" w:rsidRPr="001056BA">
        <w:rPr>
          <w:rFonts w:ascii="NobelCE Lt" w:hAnsi="NobelCE Lt"/>
          <w:i/>
        </w:rPr>
        <w:t>vůz, který by posunul úroveň zákazn</w:t>
      </w:r>
      <w:r w:rsidR="00197531">
        <w:rPr>
          <w:rFonts w:ascii="NobelCE Lt" w:hAnsi="NobelCE Lt"/>
          <w:i/>
        </w:rPr>
        <w:t>ické</w:t>
      </w:r>
      <w:r w:rsidR="001056BA" w:rsidRPr="001056BA">
        <w:rPr>
          <w:rFonts w:ascii="NobelCE Lt" w:hAnsi="NobelCE Lt"/>
          <w:i/>
        </w:rPr>
        <w:t xml:space="preserve"> zkušenost</w:t>
      </w:r>
      <w:r w:rsidR="00197531">
        <w:rPr>
          <w:rFonts w:ascii="NobelCE Lt" w:hAnsi="NobelCE Lt"/>
          <w:i/>
        </w:rPr>
        <w:t>i</w:t>
      </w:r>
      <w:r w:rsidR="001056BA" w:rsidRPr="001056BA">
        <w:rPr>
          <w:rFonts w:ascii="NobelCE Lt" w:hAnsi="NobelCE Lt"/>
          <w:i/>
        </w:rPr>
        <w:t xml:space="preserve"> a </w:t>
      </w:r>
      <w:r w:rsidR="00197531">
        <w:rPr>
          <w:rFonts w:ascii="NobelCE Lt" w:hAnsi="NobelCE Lt"/>
          <w:i/>
        </w:rPr>
        <w:t>vytvořil z pohledu zákazníka ně</w:t>
      </w:r>
      <w:r>
        <w:rPr>
          <w:rFonts w:ascii="NobelCE Lt" w:hAnsi="NobelCE Lt"/>
          <w:i/>
        </w:rPr>
        <w:t>co jedinečného,“</w:t>
      </w:r>
      <w:r>
        <w:rPr>
          <w:rFonts w:ascii="NobelCE Lt" w:hAnsi="NobelCE Lt"/>
        </w:rPr>
        <w:t xml:space="preserve"> popisuje </w:t>
      </w:r>
      <w:r w:rsidRPr="00DE05A2">
        <w:rPr>
          <w:rFonts w:ascii="NobelCE Lt" w:hAnsi="NobelCE Lt"/>
        </w:rPr>
        <w:t>Stef</w:t>
      </w:r>
      <w:r>
        <w:rPr>
          <w:rFonts w:ascii="NobelCE Lt" w:hAnsi="NobelCE Lt"/>
        </w:rPr>
        <w:t>an Rasmussen, návrhář exteriéru ze studia</w:t>
      </w:r>
      <w:r w:rsidRPr="00DE05A2">
        <w:rPr>
          <w:rFonts w:ascii="NobelCE Lt" w:hAnsi="NobelCE Lt"/>
        </w:rPr>
        <w:t xml:space="preserve"> ED</w:t>
      </w:r>
      <w:r w:rsidRPr="00DE05A2">
        <w:rPr>
          <w:rFonts w:ascii="NobelCE Lt" w:hAnsi="NobelCE Lt"/>
          <w:vertAlign w:val="superscript"/>
        </w:rPr>
        <w:t>2</w:t>
      </w:r>
      <w:r>
        <w:rPr>
          <w:rFonts w:ascii="NobelCE Lt" w:hAnsi="NobelCE Lt"/>
        </w:rPr>
        <w:t xml:space="preserve">, a pokračuje: </w:t>
      </w:r>
      <w:r>
        <w:rPr>
          <w:rFonts w:ascii="NobelCE Lt" w:hAnsi="NobelCE Lt"/>
          <w:vertAlign w:val="superscript"/>
        </w:rPr>
        <w:t xml:space="preserve"> </w:t>
      </w:r>
      <w:r>
        <w:rPr>
          <w:rFonts w:ascii="NobelCE Lt" w:hAnsi="NobelCE Lt"/>
          <w:i/>
        </w:rPr>
        <w:t>„</w:t>
      </w:r>
      <w:r w:rsidR="001056BA" w:rsidRPr="001056BA">
        <w:rPr>
          <w:rFonts w:ascii="NobelCE Lt" w:hAnsi="NobelCE Lt"/>
          <w:i/>
        </w:rPr>
        <w:t xml:space="preserve">Inspiraci jsme </w:t>
      </w:r>
      <w:r w:rsidR="006F1931">
        <w:rPr>
          <w:rFonts w:ascii="NobelCE Lt" w:hAnsi="NobelCE Lt"/>
          <w:i/>
        </w:rPr>
        <w:t xml:space="preserve">čerpali nejrůznějšími způsoby, ale </w:t>
      </w:r>
      <w:r w:rsidR="001056BA" w:rsidRPr="001056BA">
        <w:rPr>
          <w:rFonts w:ascii="NobelCE Lt" w:hAnsi="NobelCE Lt"/>
          <w:i/>
        </w:rPr>
        <w:t>naším hlavním zdrojem byl</w:t>
      </w:r>
      <w:r w:rsidR="006F1931">
        <w:rPr>
          <w:rFonts w:ascii="NobelCE Lt" w:hAnsi="NobelCE Lt"/>
          <w:i/>
        </w:rPr>
        <w:t>y</w:t>
      </w:r>
      <w:r w:rsidR="001056BA" w:rsidRPr="001056BA">
        <w:rPr>
          <w:rFonts w:ascii="NobelCE Lt" w:hAnsi="NobelCE Lt"/>
          <w:i/>
        </w:rPr>
        <w:t xml:space="preserve"> </w:t>
      </w:r>
      <w:r w:rsidR="006F1931">
        <w:rPr>
          <w:rFonts w:ascii="NobelCE Lt" w:hAnsi="NobelCE Lt"/>
          <w:i/>
        </w:rPr>
        <w:t>základní</w:t>
      </w:r>
      <w:r w:rsidR="001056BA" w:rsidRPr="001056BA">
        <w:rPr>
          <w:rFonts w:ascii="NobelCE Lt" w:hAnsi="NobelCE Lt"/>
          <w:i/>
        </w:rPr>
        <w:t xml:space="preserve"> </w:t>
      </w:r>
      <w:r w:rsidR="006F1931">
        <w:rPr>
          <w:rFonts w:ascii="NobelCE Lt" w:hAnsi="NobelCE Lt"/>
          <w:i/>
        </w:rPr>
        <w:t>defi</w:t>
      </w:r>
      <w:r w:rsidR="001056BA" w:rsidRPr="001056BA">
        <w:rPr>
          <w:rFonts w:ascii="NobelCE Lt" w:hAnsi="NobelCE Lt"/>
          <w:i/>
        </w:rPr>
        <w:t>nice popisující charakter tohoto vozu: 'Robustní, avšak agilní' a 'Princip stylistického ztvárnění zevnitř ven'. To</w:t>
      </w:r>
      <w:r w:rsidR="006F1931">
        <w:rPr>
          <w:rFonts w:ascii="NobelCE Lt" w:hAnsi="NobelCE Lt"/>
          <w:i/>
        </w:rPr>
        <w:t xml:space="preserve"> vše</w:t>
      </w:r>
      <w:r w:rsidR="001056BA" w:rsidRPr="001056BA">
        <w:rPr>
          <w:rFonts w:ascii="NobelCE Lt" w:hAnsi="NobelCE Lt"/>
          <w:i/>
        </w:rPr>
        <w:t xml:space="preserve"> se odvíjí od jednoho ze základních kamenů Lexus</w:t>
      </w:r>
      <w:r>
        <w:rPr>
          <w:rFonts w:ascii="NobelCE Lt" w:hAnsi="NobelCE Lt"/>
          <w:i/>
        </w:rPr>
        <w:t>u</w:t>
      </w:r>
      <w:r w:rsidR="001056BA" w:rsidRPr="001056BA">
        <w:rPr>
          <w:rFonts w:ascii="NobelCE Lt" w:hAnsi="NobelCE Lt"/>
          <w:i/>
        </w:rPr>
        <w:t>, kterým je filozofie daná slůvkem ‘Avšak’. Hledali jsme inspiraci představující synergii vzájemně kontrastních hodnot, ať již v architektuře, módě nebo přírodě, s poukazem na spojení lehkosti, konstrukčních prvků, výtvarného zpracování a emocí.“</w:t>
      </w:r>
    </w:p>
    <w:p w14:paraId="7F521B15" w14:textId="77777777" w:rsidR="00DE05A2" w:rsidRDefault="00DE05A2" w:rsidP="001056BA">
      <w:pPr>
        <w:rPr>
          <w:rFonts w:ascii="NobelCE Lt" w:hAnsi="NobelCE Lt"/>
        </w:rPr>
      </w:pPr>
    </w:p>
    <w:p w14:paraId="0BE5FFB3" w14:textId="54FCBEAD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Studie UX Concept je novým pojetím čtyřmístného crossoveru, jenž zhmotňuje téměř surový vzhled a terénní prvky vozů 4x4, zde s malou světlou výškou a polohou za volantem typickou pro kupé, čímž podtrh</w:t>
      </w:r>
      <w:r w:rsidR="00F36CE6">
        <w:rPr>
          <w:rFonts w:ascii="NobelCE Lt" w:hAnsi="NobelCE Lt"/>
        </w:rPr>
        <w:t>uje příslib dynamiky pramenící z</w:t>
      </w:r>
      <w:r w:rsidRPr="001056BA">
        <w:rPr>
          <w:rFonts w:ascii="NobelCE Lt" w:hAnsi="NobelCE Lt"/>
        </w:rPr>
        <w:t xml:space="preserve"> kompaktního vnějšího provedení. </w:t>
      </w:r>
    </w:p>
    <w:p w14:paraId="118F2E4D" w14:textId="77777777" w:rsidR="001056BA" w:rsidRPr="001056BA" w:rsidRDefault="001056BA" w:rsidP="001056BA">
      <w:pPr>
        <w:rPr>
          <w:rFonts w:ascii="NobelCE Lt" w:hAnsi="NobelCE Lt"/>
        </w:rPr>
      </w:pPr>
    </w:p>
    <w:p w14:paraId="3CF00342" w14:textId="77777777" w:rsidR="001056BA" w:rsidRPr="00DE05A2" w:rsidRDefault="001056BA" w:rsidP="001056BA">
      <w:pPr>
        <w:rPr>
          <w:rFonts w:ascii="NobelCE Lt" w:hAnsi="NobelCE Lt"/>
          <w:b/>
        </w:rPr>
      </w:pPr>
      <w:r w:rsidRPr="00DE05A2">
        <w:rPr>
          <w:rFonts w:ascii="NobelCE Lt" w:hAnsi="NobelCE Lt"/>
          <w:b/>
        </w:rPr>
        <w:t>J</w:t>
      </w:r>
      <w:r w:rsidR="00DE05A2">
        <w:rPr>
          <w:rFonts w:ascii="NobelCE Lt" w:hAnsi="NobelCE Lt"/>
          <w:b/>
        </w:rPr>
        <w:t>edinečná koncepce návrhu „zevnitř ven“</w:t>
      </w:r>
      <w:r w:rsidRPr="00DE05A2">
        <w:rPr>
          <w:rFonts w:ascii="NobelCE Lt" w:hAnsi="NobelCE Lt"/>
          <w:b/>
        </w:rPr>
        <w:t xml:space="preserve"> </w:t>
      </w:r>
    </w:p>
    <w:p w14:paraId="5EB9D929" w14:textId="12E93826" w:rsidR="001056BA" w:rsidRPr="00B461BC" w:rsidRDefault="001056BA" w:rsidP="00DE05A2">
      <w:pPr>
        <w:rPr>
          <w:rFonts w:ascii="NobelCE Lt" w:hAnsi="NobelCE Lt"/>
        </w:rPr>
      </w:pPr>
      <w:r w:rsidRPr="001056BA">
        <w:rPr>
          <w:rFonts w:ascii="NobelCE Lt" w:hAnsi="NobelCE Lt"/>
          <w:i/>
        </w:rPr>
        <w:t>„Koncepce návrhu zevnitř ven je vý</w:t>
      </w:r>
      <w:r w:rsidR="00DE05A2">
        <w:rPr>
          <w:rFonts w:ascii="NobelCE Lt" w:hAnsi="NobelCE Lt"/>
          <w:i/>
        </w:rPr>
        <w:t>sledkem dlouhé řady týmových dis</w:t>
      </w:r>
      <w:r w:rsidR="00DE05A2" w:rsidRPr="001056BA">
        <w:rPr>
          <w:rFonts w:ascii="NobelCE Lt" w:hAnsi="NobelCE Lt"/>
          <w:i/>
        </w:rPr>
        <w:t>kuzí</w:t>
      </w:r>
      <w:r w:rsidRPr="001056BA">
        <w:rPr>
          <w:rFonts w:ascii="NobelCE Lt" w:hAnsi="NobelCE Lt"/>
          <w:i/>
        </w:rPr>
        <w:t>. Chtěli jsme, aby tento model jasně vyjadřoval klíčové zaměření na člověka, a to nejen</w:t>
      </w:r>
      <w:r w:rsidR="00F36CE6">
        <w:rPr>
          <w:rFonts w:ascii="NobelCE Lt" w:hAnsi="NobelCE Lt"/>
          <w:i/>
        </w:rPr>
        <w:t xml:space="preserve"> opticky, ale i svou</w:t>
      </w:r>
      <w:r w:rsidR="00DE05A2">
        <w:rPr>
          <w:rFonts w:ascii="NobelCE Lt" w:hAnsi="NobelCE Lt"/>
          <w:i/>
        </w:rPr>
        <w:t xml:space="preserve"> filozofií,“ </w:t>
      </w:r>
      <w:r w:rsidR="00DE05A2" w:rsidRPr="00DE05A2">
        <w:rPr>
          <w:rFonts w:ascii="NobelCE Lt" w:hAnsi="NobelCE Lt"/>
        </w:rPr>
        <w:t>vysvětluje Alexandre Gommier, návrhář interiéru</w:t>
      </w:r>
      <w:r w:rsidR="00F36CE6">
        <w:rPr>
          <w:rFonts w:ascii="NobelCE Lt" w:hAnsi="NobelCE Lt"/>
        </w:rPr>
        <w:t xml:space="preserve"> ze</w:t>
      </w:r>
      <w:r w:rsidR="00DE05A2" w:rsidRPr="00DE05A2">
        <w:rPr>
          <w:rFonts w:ascii="NobelCE Lt" w:hAnsi="NobelCE Lt"/>
        </w:rPr>
        <w:t xml:space="preserve"> studi</w:t>
      </w:r>
      <w:r w:rsidR="00F36CE6">
        <w:rPr>
          <w:rFonts w:ascii="NobelCE Lt" w:hAnsi="NobelCE Lt"/>
        </w:rPr>
        <w:t>a</w:t>
      </w:r>
      <w:r w:rsidR="00DE05A2" w:rsidRPr="00DE05A2">
        <w:rPr>
          <w:rFonts w:ascii="NobelCE Lt" w:hAnsi="NobelCE Lt"/>
        </w:rPr>
        <w:t xml:space="preserve"> ED</w:t>
      </w:r>
      <w:r w:rsidR="00DE05A2" w:rsidRPr="00DE05A2">
        <w:rPr>
          <w:rFonts w:ascii="NobelCE Lt" w:hAnsi="NobelCE Lt"/>
          <w:vertAlign w:val="superscript"/>
        </w:rPr>
        <w:t>2</w:t>
      </w:r>
      <w:r w:rsidR="00DE05A2" w:rsidRPr="00DE05A2">
        <w:rPr>
          <w:rFonts w:ascii="NobelCE Lt" w:hAnsi="NobelCE Lt"/>
        </w:rPr>
        <w:t xml:space="preserve">, a </w:t>
      </w:r>
      <w:r w:rsidR="00B461BC">
        <w:rPr>
          <w:rFonts w:ascii="NobelCE Lt" w:hAnsi="NobelCE Lt"/>
        </w:rPr>
        <w:t xml:space="preserve">dodává: </w:t>
      </w:r>
      <w:r w:rsidR="00B461BC">
        <w:rPr>
          <w:rFonts w:ascii="NobelCE Lt" w:hAnsi="NobelCE Lt"/>
          <w:i/>
        </w:rPr>
        <w:t>„V</w:t>
      </w:r>
      <w:r w:rsidRPr="001056BA">
        <w:rPr>
          <w:rFonts w:ascii="NobelCE Lt" w:hAnsi="NobelCE Lt"/>
          <w:i/>
        </w:rPr>
        <w:t xml:space="preserve">šichni zapojení návrháři si uvědomovali důležitost </w:t>
      </w:r>
      <w:r w:rsidR="00F36CE6">
        <w:rPr>
          <w:rFonts w:ascii="NobelCE Lt" w:hAnsi="NobelCE Lt"/>
          <w:i/>
        </w:rPr>
        <w:t>pevné</w:t>
      </w:r>
      <w:r w:rsidRPr="001056BA">
        <w:rPr>
          <w:rFonts w:ascii="NobelCE Lt" w:hAnsi="NobelCE Lt"/>
          <w:i/>
        </w:rPr>
        <w:t xml:space="preserve"> vazby mezi exteriérem a interiérem. Hlavním cílem tak bylo vyvolat určitá očekávání daná exteriérem, který by byl opticky i fyzicky svázán s interiérem.“</w:t>
      </w:r>
    </w:p>
    <w:p w14:paraId="1ACCE019" w14:textId="77777777" w:rsidR="00DE05A2" w:rsidRDefault="00DE05A2" w:rsidP="001056BA">
      <w:pPr>
        <w:rPr>
          <w:rFonts w:ascii="NobelCE Lt" w:hAnsi="NobelCE Lt"/>
        </w:rPr>
      </w:pPr>
    </w:p>
    <w:p w14:paraId="40BDEFA1" w14:textId="51C9B76D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Klíčovým prvkem návrhu je futuristická koncepce „zevnitř ven“, která stojí za mimořádně synergickým pojetím exteriéru a interiéru. Při pohledu shora je to nejvíce patrné z</w:t>
      </w:r>
      <w:r w:rsidR="00F36CE6">
        <w:rPr>
          <w:rFonts w:ascii="NobelCE Lt" w:hAnsi="NobelCE Lt"/>
        </w:rPr>
        <w:t>e stavby vozu</w:t>
      </w:r>
      <w:r w:rsidRPr="001056BA">
        <w:rPr>
          <w:rFonts w:ascii="NobelCE Lt" w:hAnsi="NobelCE Lt"/>
        </w:rPr>
        <w:t xml:space="preserve"> ve tvaru velkého X, které se rozbíhá od kabiny směrem ven a naopak. </w:t>
      </w:r>
    </w:p>
    <w:p w14:paraId="519ED771" w14:textId="77777777" w:rsidR="00B461BC" w:rsidRPr="001056BA" w:rsidRDefault="00B461BC" w:rsidP="001056BA">
      <w:pPr>
        <w:rPr>
          <w:rFonts w:ascii="NobelCE Lt" w:hAnsi="NobelCE Lt"/>
        </w:rPr>
      </w:pPr>
    </w:p>
    <w:p w14:paraId="55BBEFBA" w14:textId="77777777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Z</w:t>
      </w:r>
      <w:r w:rsidR="00B461BC">
        <w:rPr>
          <w:rFonts w:ascii="NobelCE Lt" w:hAnsi="NobelCE Lt"/>
        </w:rPr>
        <w:t>e</w:t>
      </w:r>
      <w:r w:rsidRPr="001056BA">
        <w:rPr>
          <w:rFonts w:ascii="NobelCE Lt" w:hAnsi="NobelCE Lt"/>
        </w:rPr>
        <w:t xml:space="preserve">předu se pak blatníky hladce slévají s kabinou, čímž vytvářejí pouzdro pro displeje elektronických zpětných zrcátek, zprostředkujících obraz z dozadu otočených kamer, umístěných na dveřích. O něco </w:t>
      </w:r>
      <w:r w:rsidRPr="001056BA">
        <w:rPr>
          <w:rFonts w:ascii="NobelCE Lt" w:hAnsi="NobelCE Lt"/>
        </w:rPr>
        <w:lastRenderedPageBreak/>
        <w:t>níže než uvedené displeje je posazen</w:t>
      </w:r>
      <w:r w:rsidR="00B461BC">
        <w:rPr>
          <w:rFonts w:ascii="NobelCE Lt" w:hAnsi="NobelCE Lt"/>
        </w:rPr>
        <w:t>ý</w:t>
      </w:r>
      <w:r w:rsidRPr="001056BA">
        <w:rPr>
          <w:rFonts w:ascii="NobelCE Lt" w:hAnsi="NobelCE Lt"/>
        </w:rPr>
        <w:t xml:space="preserve"> horní blok přístrojové desky, čímž vzniká unikátní „dekonstruovaná“ koncepce s výborným výhledem ve směru jízdy. Vzadu se pak karoserie opět hladce slévá s kabinou, přičemž zde vytváří hlavní konstrukci hlavových opěrek pro zadní pasažéry. </w:t>
      </w:r>
    </w:p>
    <w:p w14:paraId="25E89F12" w14:textId="77777777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Motiv písmene X rozbíhajícího se zevnitř směrem ven je zopakován akcentem na styl 4x4 v podobě mohutných blatníků s aerodynamickými obklady podběhů kol, což dává celkovému ztvárnění další rozměr. </w:t>
      </w:r>
    </w:p>
    <w:p w14:paraId="682B299D" w14:textId="77777777" w:rsidR="001056BA" w:rsidRPr="001056BA" w:rsidRDefault="001056BA" w:rsidP="001056BA">
      <w:pPr>
        <w:rPr>
          <w:rFonts w:ascii="NobelCE Lt" w:hAnsi="NobelCE Lt"/>
        </w:rPr>
      </w:pPr>
    </w:p>
    <w:p w14:paraId="5AE84F17" w14:textId="77777777" w:rsidR="001056BA" w:rsidRPr="00B461BC" w:rsidRDefault="001056BA" w:rsidP="001056BA">
      <w:pPr>
        <w:rPr>
          <w:rFonts w:ascii="NobelCE Lt" w:hAnsi="NobelCE Lt"/>
          <w:b/>
        </w:rPr>
      </w:pPr>
      <w:r w:rsidRPr="00B461BC">
        <w:rPr>
          <w:rFonts w:ascii="NobelCE Lt" w:hAnsi="NobelCE Lt"/>
          <w:b/>
        </w:rPr>
        <w:t>O</w:t>
      </w:r>
      <w:r w:rsidR="00B461BC">
        <w:rPr>
          <w:rFonts w:ascii="NobelCE Lt" w:hAnsi="NobelCE Lt"/>
          <w:b/>
        </w:rPr>
        <w:t>pticky přiznaná vnitřní konstrukce</w:t>
      </w:r>
    </w:p>
    <w:p w14:paraId="1D2F0424" w14:textId="77777777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Přístup k návrhu „zevnitř ven“ je ještě zdůrazněn</w:t>
      </w:r>
      <w:r w:rsidR="00B461BC">
        <w:rPr>
          <w:rFonts w:ascii="NobelCE Lt" w:hAnsi="NobelCE Lt"/>
        </w:rPr>
        <w:t>ý</w:t>
      </w:r>
      <w:r w:rsidRPr="001056BA">
        <w:rPr>
          <w:rFonts w:ascii="NobelCE Lt" w:hAnsi="NobelCE Lt"/>
        </w:rPr>
        <w:t xml:space="preserve"> podběhy kol, střešními nosiči a kamerami na dveřích vozu. Všechny tyto prvky mají povrch z identického materiálu a zhmotňují podobu plynulé, avšak přerušova</w:t>
      </w:r>
      <w:r w:rsidR="00B461BC">
        <w:rPr>
          <w:rFonts w:ascii="NobelCE Lt" w:hAnsi="NobelCE Lt"/>
        </w:rPr>
        <w:t>né základní stavební konstrukce. V</w:t>
      </w:r>
      <w:r w:rsidRPr="001056BA">
        <w:rPr>
          <w:rFonts w:ascii="NobelCE Lt" w:hAnsi="NobelCE Lt"/>
        </w:rPr>
        <w:t>nitřní kostra karoserie je přiznána například jako nosník střechy pronikající do kabiny</w:t>
      </w:r>
      <w:r w:rsidR="00B461BC">
        <w:rPr>
          <w:rFonts w:ascii="NobelCE Lt" w:hAnsi="NobelCE Lt"/>
        </w:rPr>
        <w:t>,</w:t>
      </w:r>
      <w:r w:rsidRPr="001056BA">
        <w:rPr>
          <w:rFonts w:ascii="NobelCE Lt" w:hAnsi="NobelCE Lt"/>
        </w:rPr>
        <w:t xml:space="preserve"> čímž vytváří konstrukci předního A-sloupku</w:t>
      </w:r>
      <w:r w:rsidR="00B461BC">
        <w:rPr>
          <w:rFonts w:ascii="NobelCE Lt" w:hAnsi="NobelCE Lt"/>
        </w:rPr>
        <w:t xml:space="preserve">, </w:t>
      </w:r>
      <w:r w:rsidRPr="001056BA">
        <w:rPr>
          <w:rFonts w:ascii="NobelCE Lt" w:hAnsi="NobelCE Lt"/>
        </w:rPr>
        <w:t>a opět vycházející ven ve formě montážního prvku kamery na dveřích.</w:t>
      </w:r>
    </w:p>
    <w:p w14:paraId="2FBEAA4D" w14:textId="77777777" w:rsidR="001056BA" w:rsidRPr="001056BA" w:rsidRDefault="001056BA" w:rsidP="001056BA">
      <w:pPr>
        <w:rPr>
          <w:rFonts w:ascii="NobelCE Lt" w:hAnsi="NobelCE Lt"/>
        </w:rPr>
      </w:pPr>
    </w:p>
    <w:p w14:paraId="409821EA" w14:textId="77777777" w:rsidR="001056BA" w:rsidRPr="00B461BC" w:rsidRDefault="001056BA" w:rsidP="001056BA">
      <w:pPr>
        <w:rPr>
          <w:rFonts w:ascii="NobelCE Lt" w:hAnsi="NobelCE Lt"/>
          <w:b/>
        </w:rPr>
      </w:pPr>
      <w:r w:rsidRPr="00B461BC">
        <w:rPr>
          <w:rFonts w:ascii="NobelCE Lt" w:hAnsi="NobelCE Lt"/>
          <w:b/>
        </w:rPr>
        <w:t>V</w:t>
      </w:r>
      <w:r w:rsidR="00B461BC">
        <w:rPr>
          <w:rFonts w:ascii="NobelCE Lt" w:hAnsi="NobelCE Lt"/>
          <w:b/>
        </w:rPr>
        <w:t xml:space="preserve">ysoce plastický harmonický design </w:t>
      </w:r>
    </w:p>
    <w:p w14:paraId="2759F4F6" w14:textId="77777777" w:rsidR="001056BA" w:rsidRPr="00B461BC" w:rsidRDefault="001056BA" w:rsidP="00B461BC">
      <w:pPr>
        <w:rPr>
          <w:rFonts w:ascii="NobelCE Lt" w:hAnsi="NobelCE Lt"/>
        </w:rPr>
      </w:pPr>
      <w:r w:rsidRPr="001056BA">
        <w:rPr>
          <w:rFonts w:ascii="NobelCE Lt" w:hAnsi="NobelCE Lt"/>
          <w:i/>
        </w:rPr>
        <w:t xml:space="preserve">„Při návrhu jsme intenzivně pracovali s </w:t>
      </w:r>
      <w:r w:rsidR="00B461BC">
        <w:rPr>
          <w:rFonts w:ascii="NobelCE Lt" w:hAnsi="NobelCE Lt"/>
          <w:i/>
        </w:rPr>
        <w:t>hliněnými i digitálními modely. N</w:t>
      </w:r>
      <w:r w:rsidRPr="001056BA">
        <w:rPr>
          <w:rFonts w:ascii="NobelCE Lt" w:hAnsi="NobelCE Lt"/>
          <w:i/>
        </w:rPr>
        <w:t>ikoli kvůli co nejvyšší efektivitě, ale proto, abychom dosáhli maximální kvality povrchů a designu. Jelikož byl do projektu zapojen tým mimořádně zkušených mistrů Takumi na zpracování hliněných modelů, mohli jsme zkoumat celou řadu směrů, a vytvořit tak krásné interakce povrchů, které tomuto návrhu propůjčují atletický, ale so</w:t>
      </w:r>
      <w:r w:rsidR="00B461BC">
        <w:rPr>
          <w:rFonts w:ascii="NobelCE Lt" w:hAnsi="NobelCE Lt"/>
          <w:i/>
        </w:rPr>
        <w:t>učasně i elegantní výraz,</w:t>
      </w:r>
      <w:r w:rsidRPr="001056BA">
        <w:rPr>
          <w:rFonts w:ascii="NobelCE Lt" w:hAnsi="NobelCE Lt"/>
          <w:i/>
        </w:rPr>
        <w:t>“</w:t>
      </w:r>
      <w:r w:rsidR="00B461BC">
        <w:rPr>
          <w:rFonts w:ascii="NobelCE Lt" w:hAnsi="NobelCE Lt"/>
          <w:i/>
        </w:rPr>
        <w:t xml:space="preserve"> </w:t>
      </w:r>
      <w:r w:rsidR="00B461BC" w:rsidRPr="00B461BC">
        <w:rPr>
          <w:rFonts w:ascii="NobelCE Lt" w:hAnsi="NobelCE Lt"/>
        </w:rPr>
        <w:t xml:space="preserve">podotýká </w:t>
      </w:r>
      <w:r w:rsidRPr="00B461BC">
        <w:rPr>
          <w:rFonts w:ascii="NobelCE Lt" w:hAnsi="NobelCE Lt"/>
        </w:rPr>
        <w:t>Stefan Rasmussen, návrhář exteriéru</w:t>
      </w:r>
      <w:r w:rsidR="00B461BC">
        <w:rPr>
          <w:rFonts w:ascii="NobelCE Lt" w:hAnsi="NobelCE Lt"/>
        </w:rPr>
        <w:t xml:space="preserve"> ze studia</w:t>
      </w:r>
      <w:r w:rsidRPr="00B461BC">
        <w:rPr>
          <w:rFonts w:ascii="NobelCE Lt" w:hAnsi="NobelCE Lt"/>
        </w:rPr>
        <w:t xml:space="preserve"> ED</w:t>
      </w:r>
      <w:r w:rsidRPr="00B461BC">
        <w:rPr>
          <w:rFonts w:ascii="NobelCE Lt" w:hAnsi="NobelCE Lt"/>
          <w:vertAlign w:val="superscript"/>
        </w:rPr>
        <w:t>2</w:t>
      </w:r>
      <w:r w:rsidR="00B461BC">
        <w:rPr>
          <w:rFonts w:ascii="NobelCE Lt" w:hAnsi="NobelCE Lt"/>
        </w:rPr>
        <w:t>.</w:t>
      </w:r>
    </w:p>
    <w:p w14:paraId="41174ADF" w14:textId="77777777" w:rsidR="00B461BC" w:rsidRPr="001056BA" w:rsidRDefault="00B461BC" w:rsidP="001056BA">
      <w:pPr>
        <w:ind w:left="720"/>
        <w:rPr>
          <w:rFonts w:ascii="NobelCE Lt" w:hAnsi="NobelCE Lt"/>
          <w:i/>
        </w:rPr>
      </w:pPr>
    </w:p>
    <w:p w14:paraId="35A02E1F" w14:textId="6971D82B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Nová vývojová varianta vřetenovité masky chladiče Lexus značí další významný krok kupředu, kdy identitu vozidla tvoří celý objem obklopující masku chladiče, nikoli tato maska samotn</w:t>
      </w:r>
      <w:r w:rsidR="00B461BC">
        <w:rPr>
          <w:rFonts w:ascii="NobelCE Lt" w:hAnsi="NobelCE Lt"/>
        </w:rPr>
        <w:t>á. Vz</w:t>
      </w:r>
      <w:r w:rsidRPr="001056BA">
        <w:rPr>
          <w:rFonts w:ascii="NobelCE Lt" w:hAnsi="NobelCE Lt"/>
        </w:rPr>
        <w:t>niká tak v</w:t>
      </w:r>
      <w:r w:rsidR="007A59A5">
        <w:rPr>
          <w:rFonts w:ascii="NobelCE Lt" w:hAnsi="NobelCE Lt"/>
        </w:rPr>
        <w:t>ýrazně trojrozměrný výchozí bod</w:t>
      </w:r>
      <w:r w:rsidRPr="001056BA">
        <w:rPr>
          <w:rFonts w:ascii="NobelCE Lt" w:hAnsi="NobelCE Lt"/>
        </w:rPr>
        <w:t xml:space="preserve"> poukazující na tvar celé karoserie. </w:t>
      </w:r>
    </w:p>
    <w:p w14:paraId="5D161E52" w14:textId="77777777" w:rsidR="00B461BC" w:rsidRPr="001056BA" w:rsidRDefault="00B461BC" w:rsidP="001056BA">
      <w:pPr>
        <w:rPr>
          <w:rFonts w:ascii="NobelCE Lt" w:hAnsi="NobelCE Lt"/>
        </w:rPr>
      </w:pPr>
    </w:p>
    <w:p w14:paraId="34961F6F" w14:textId="77777777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Tyto klíčové vnější prvky jsou pospojovány pomocí vysoce plastických a smyslných povrchů, připomínajících klasické sportovní vozy. Použitá architektura je v rámci značky Lexus jedinečná</w:t>
      </w:r>
      <w:r w:rsidR="00B461BC">
        <w:rPr>
          <w:rFonts w:ascii="NobelCE Lt" w:hAnsi="NobelCE Lt"/>
        </w:rPr>
        <w:t>. V</w:t>
      </w:r>
      <w:r w:rsidRPr="001056BA">
        <w:rPr>
          <w:rFonts w:ascii="NobelCE Lt" w:hAnsi="NobelCE Lt"/>
        </w:rPr>
        <w:t xml:space="preserve">ýrazně horizontální orientace návrhu bylo docíleno prostřednictvím objemu namísto pouhých charakteristických křivek, jejichž spojením vzniká horizontální osa vozidla. </w:t>
      </w:r>
    </w:p>
    <w:p w14:paraId="7E40B186" w14:textId="77777777" w:rsidR="00B461BC" w:rsidRPr="001056BA" w:rsidRDefault="00B461BC" w:rsidP="001056BA">
      <w:pPr>
        <w:rPr>
          <w:rFonts w:ascii="NobelCE Lt" w:hAnsi="NobelCE Lt"/>
        </w:rPr>
      </w:pPr>
    </w:p>
    <w:p w14:paraId="12E75778" w14:textId="77777777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Výrazná horizontální orientace je při pohledu z boku ještě zdůrazněna délkou kapoty, zatímco nejvyšší bod kabiny je záměrně posunut hodně dozadu, aby vznikl dynamický charakteristický profil.</w:t>
      </w:r>
      <w:r w:rsidR="00B461BC">
        <w:rPr>
          <w:rFonts w:ascii="NobelCE Lt" w:hAnsi="NobelCE Lt"/>
        </w:rPr>
        <w:t xml:space="preserve"> </w:t>
      </w:r>
    </w:p>
    <w:p w14:paraId="50135EC0" w14:textId="77777777" w:rsidR="00B461BC" w:rsidRPr="00B461BC" w:rsidRDefault="00B461BC" w:rsidP="001056BA">
      <w:pPr>
        <w:rPr>
          <w:rFonts w:ascii="NobelCE Lt" w:hAnsi="NobelCE Lt"/>
          <w:b/>
        </w:rPr>
      </w:pPr>
    </w:p>
    <w:p w14:paraId="1226C285" w14:textId="77777777" w:rsidR="001056BA" w:rsidRPr="00B461BC" w:rsidRDefault="001056BA" w:rsidP="001056BA">
      <w:pPr>
        <w:rPr>
          <w:rFonts w:ascii="NobelCE Lt" w:hAnsi="NobelCE Lt"/>
          <w:b/>
        </w:rPr>
      </w:pPr>
      <w:r w:rsidRPr="00B461BC">
        <w:rPr>
          <w:rFonts w:ascii="NobelCE Lt" w:hAnsi="NobelCE Lt"/>
          <w:b/>
        </w:rPr>
        <w:t>L</w:t>
      </w:r>
      <w:r w:rsidR="00B461BC">
        <w:rPr>
          <w:rFonts w:ascii="NobelCE Lt" w:hAnsi="NobelCE Lt"/>
          <w:b/>
        </w:rPr>
        <w:t>ak definující tvary</w:t>
      </w:r>
    </w:p>
    <w:p w14:paraId="740128D4" w14:textId="77777777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Ke zdůraznění vnějších tvarů vozidla byl speciálně navržen i lak karoserie. Hluboký vícevrstvý lak nově vyvinutého odstínu Immersive Amethyst zdůrazňuje objemové změny karoserie i v místech s absencí charakteristických křivek, čímž definuje plastický charakter vozu a vyjadřuje jej prostřednictvím objemu, namísto použití jednoduššího designu na základě samotných křivek. </w:t>
      </w:r>
    </w:p>
    <w:p w14:paraId="6B8835EA" w14:textId="77777777" w:rsidR="001056BA" w:rsidRPr="00FB5200" w:rsidRDefault="001056BA" w:rsidP="001056BA">
      <w:pPr>
        <w:rPr>
          <w:rFonts w:ascii="NobelCE Lt" w:hAnsi="NobelCE Lt"/>
          <w:b/>
        </w:rPr>
      </w:pPr>
    </w:p>
    <w:p w14:paraId="6389373C" w14:textId="77777777" w:rsidR="001056BA" w:rsidRPr="00FB5200" w:rsidRDefault="001056BA" w:rsidP="001056BA">
      <w:pPr>
        <w:rPr>
          <w:rFonts w:ascii="NobelCE Lt" w:hAnsi="NobelCE Lt"/>
          <w:b/>
        </w:rPr>
      </w:pPr>
      <w:r w:rsidRPr="00FB5200">
        <w:rPr>
          <w:rFonts w:ascii="NobelCE Lt" w:hAnsi="NobelCE Lt"/>
          <w:b/>
        </w:rPr>
        <w:t>I</w:t>
      </w:r>
      <w:r w:rsidR="00FB5200">
        <w:rPr>
          <w:rFonts w:ascii="NobelCE Lt" w:hAnsi="NobelCE Lt"/>
          <w:b/>
        </w:rPr>
        <w:t>novace typických designových prvků</w:t>
      </w:r>
      <w:r w:rsidRPr="00FB5200">
        <w:rPr>
          <w:rFonts w:ascii="NobelCE Lt" w:hAnsi="NobelCE Lt"/>
          <w:b/>
        </w:rPr>
        <w:t xml:space="preserve"> </w:t>
      </w:r>
    </w:p>
    <w:p w14:paraId="2218E1EC" w14:textId="77777777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Koncepce návrhu „zevnitř ven“ se neodráží jen v celkové architektuře, ale i v nejrůznějších detailech vnějšího a vnitřního designu napříč celým vozidlem, z nichž mnohé představují náročnější interpretaci několika typických designových prvků Lexus.</w:t>
      </w:r>
    </w:p>
    <w:p w14:paraId="2F9FEE81" w14:textId="77777777" w:rsidR="00AB110C" w:rsidRPr="001056BA" w:rsidRDefault="00AB110C" w:rsidP="001056BA">
      <w:pPr>
        <w:rPr>
          <w:rFonts w:ascii="NobelCE Lt" w:hAnsi="NobelCE Lt"/>
        </w:rPr>
      </w:pPr>
    </w:p>
    <w:p w14:paraId="258DA78D" w14:textId="77777777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Světla pro denní svícení ve tvaru písmene L</w:t>
      </w:r>
      <w:r w:rsidR="00E46FA4">
        <w:rPr>
          <w:rFonts w:ascii="NobelCE Lt" w:hAnsi="NobelCE Lt"/>
        </w:rPr>
        <w:t>,</w:t>
      </w:r>
      <w:r w:rsidRPr="001056BA">
        <w:rPr>
          <w:rFonts w:ascii="NobelCE Lt" w:hAnsi="NobelCE Lt"/>
        </w:rPr>
        <w:t xml:space="preserve"> tradičně posazená pod konstrukcí hlavních světlometů</w:t>
      </w:r>
      <w:r w:rsidR="00E46FA4">
        <w:rPr>
          <w:rFonts w:ascii="NobelCE Lt" w:hAnsi="NobelCE Lt"/>
        </w:rPr>
        <w:t xml:space="preserve">, </w:t>
      </w:r>
      <w:r w:rsidRPr="001056BA">
        <w:rPr>
          <w:rFonts w:ascii="NobelCE Lt" w:hAnsi="NobelCE Lt"/>
        </w:rPr>
        <w:t>nyní probíhají přímo skrz hlavní světlomety. Koncová světla mají nyní výraznější trojrozměrný charakter a jsou začleněna do zadního spoileru. Přední a koncová světla pak společně tvoří výraznou horizontální osu probíhající celou karoserií konceptu.</w:t>
      </w:r>
    </w:p>
    <w:p w14:paraId="46619A26" w14:textId="77777777" w:rsidR="00AB110C" w:rsidRPr="001056BA" w:rsidRDefault="00AB110C" w:rsidP="001056BA">
      <w:pPr>
        <w:rPr>
          <w:rFonts w:ascii="NobelCE Lt" w:hAnsi="NobelCE Lt"/>
        </w:rPr>
      </w:pPr>
    </w:p>
    <w:p w14:paraId="29637A0D" w14:textId="77777777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Světelná vlákna propracovanějších zdrojů pro denní svícení, vedená nad otvory sání vzduchu v krajích předního nárazníku, svým tvarem odkazují na rastr masky chladiče. Rastr samotné masky se rozbíhá do </w:t>
      </w:r>
      <w:r w:rsidRPr="001056BA">
        <w:rPr>
          <w:rFonts w:ascii="NobelCE Lt" w:hAnsi="NobelCE Lt"/>
        </w:rPr>
        <w:lastRenderedPageBreak/>
        <w:t xml:space="preserve">všech směrů od loga a navazuje na sousední světelná vlákna, čímž je zdůrazněna šířka vozu, který tak opticky působí ještě výrazněji. </w:t>
      </w:r>
    </w:p>
    <w:p w14:paraId="684DFAD2" w14:textId="77777777" w:rsidR="00AB110C" w:rsidRPr="001056BA" w:rsidRDefault="00AB110C" w:rsidP="001056BA">
      <w:pPr>
        <w:rPr>
          <w:rFonts w:ascii="NobelCE Lt" w:hAnsi="NobelCE Lt"/>
        </w:rPr>
      </w:pPr>
    </w:p>
    <w:p w14:paraId="129C29AD" w14:textId="51BE09BF" w:rsidR="001056BA" w:rsidRPr="001056BA" w:rsidRDefault="006403B8" w:rsidP="001056BA">
      <w:pPr>
        <w:rPr>
          <w:rFonts w:ascii="NobelCE Lt" w:hAnsi="NobelCE Lt"/>
        </w:rPr>
      </w:pPr>
      <w:r>
        <w:rPr>
          <w:rFonts w:ascii="NobelCE Lt" w:hAnsi="NobelCE Lt"/>
        </w:rPr>
        <w:t>J</w:t>
      </w:r>
      <w:r w:rsidRPr="006403B8">
        <w:rPr>
          <w:rFonts w:ascii="NobelCE Lt" w:hAnsi="NobelCE Lt"/>
        </w:rPr>
        <w:t>edinečn</w:t>
      </w:r>
      <w:r>
        <w:rPr>
          <w:rFonts w:ascii="NobelCE Lt" w:hAnsi="NobelCE Lt"/>
        </w:rPr>
        <w:t>é</w:t>
      </w:r>
      <w:r w:rsidRPr="006403B8">
        <w:rPr>
          <w:rFonts w:ascii="NobelCE Lt" w:hAnsi="NobelCE Lt"/>
        </w:rPr>
        <w:t xml:space="preserve"> pneumatik</w:t>
      </w:r>
      <w:r>
        <w:rPr>
          <w:rFonts w:ascii="NobelCE Lt" w:hAnsi="NobelCE Lt"/>
        </w:rPr>
        <w:t>y vozu rovněž posouvají hranice t</w:t>
      </w:r>
      <w:r w:rsidR="001056BA" w:rsidRPr="006403B8">
        <w:rPr>
          <w:rFonts w:ascii="NobelCE Lt" w:hAnsi="NobelCE Lt"/>
        </w:rPr>
        <w:t>radiční</w:t>
      </w:r>
      <w:r>
        <w:rPr>
          <w:rFonts w:ascii="NobelCE Lt" w:hAnsi="NobelCE Lt"/>
        </w:rPr>
        <w:t>ch materiálů</w:t>
      </w:r>
      <w:r w:rsidR="001056BA" w:rsidRPr="006403B8">
        <w:rPr>
          <w:rFonts w:ascii="NobelCE Lt" w:hAnsi="NobelCE Lt"/>
        </w:rPr>
        <w:t>. Při návrhu pneumatik byla využita špičková</w:t>
      </w:r>
      <w:r w:rsidR="001056BA" w:rsidRPr="001056BA">
        <w:rPr>
          <w:rFonts w:ascii="NobelCE Lt" w:hAnsi="NobelCE Lt"/>
        </w:rPr>
        <w:t xml:space="preserve"> technologie laserového vyřezávání s cílem vyjádřit dva jedinečné prvky. Směrový dezén pneumatik je sportovní kvůli maximálnímu kontaktu s povrchem vozovky pro záběr při agilní jízdě, zatímco bočnice zdůrazňují charakter crossoveru prostřednictvím jedinečných segmentů a hladkého sladění s designem kol. Segment disku volně navazuje na pryž pneumatiky, a tak paprsek disku vytváří jakousi optickou spojnici mezi různými segmenty pneumatiky</w:t>
      </w:r>
      <w:r w:rsidR="00E46FA4">
        <w:rPr>
          <w:rFonts w:ascii="NobelCE Lt" w:hAnsi="NobelCE Lt"/>
        </w:rPr>
        <w:t>. V</w:t>
      </w:r>
      <w:r w:rsidR="001056BA" w:rsidRPr="001056BA">
        <w:rPr>
          <w:rFonts w:ascii="NobelCE Lt" w:hAnsi="NobelCE Lt"/>
        </w:rPr>
        <w:t>e výsledku tak divák nabývá dojmu, že disk s pneumatikou tvoří jediný kus, nikol</w:t>
      </w:r>
      <w:r w:rsidR="00E46FA4">
        <w:rPr>
          <w:rFonts w:ascii="NobelCE Lt" w:hAnsi="NobelCE Lt"/>
        </w:rPr>
        <w:t>iv dva</w:t>
      </w:r>
      <w:r w:rsidR="001056BA" w:rsidRPr="001056BA">
        <w:rPr>
          <w:rFonts w:ascii="NobelCE Lt" w:hAnsi="NobelCE Lt"/>
        </w:rPr>
        <w:t xml:space="preserve"> oddělené komponenty. </w:t>
      </w:r>
    </w:p>
    <w:p w14:paraId="0BF78E18" w14:textId="77777777" w:rsidR="001056BA" w:rsidRPr="001056BA" w:rsidRDefault="001056BA" w:rsidP="001056BA">
      <w:pPr>
        <w:rPr>
          <w:rFonts w:ascii="NobelCE Lt" w:hAnsi="NobelCE Lt"/>
        </w:rPr>
      </w:pPr>
    </w:p>
    <w:p w14:paraId="3312E3B2" w14:textId="77777777" w:rsidR="001056BA" w:rsidRPr="00E46FA4" w:rsidRDefault="00E46FA4" w:rsidP="001056BA">
      <w:pPr>
        <w:rPr>
          <w:rFonts w:ascii="NobelCE Lt" w:hAnsi="NobelCE Lt"/>
          <w:b/>
        </w:rPr>
      </w:pPr>
      <w:r>
        <w:rPr>
          <w:rFonts w:ascii="NobelCE Lt" w:hAnsi="NobelCE Lt"/>
          <w:b/>
        </w:rPr>
        <w:t>Jedinečný průhledný přední sloupek karosérie</w:t>
      </w:r>
    </w:p>
    <w:p w14:paraId="76B5E73F" w14:textId="52838DEA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Jedinečný „průhledný“ A-sloupek má opět za cíl mazat hranice mezi exteriérem a interiérem. Přestože bylo možné vytvořit zcela průhledný přední sloupek z polykarbonátu, UX Concept tuto „průhlednost“ </w:t>
      </w:r>
      <w:r w:rsidR="006403B8">
        <w:rPr>
          <w:rFonts w:ascii="NobelCE Lt" w:hAnsi="NobelCE Lt"/>
        </w:rPr>
        <w:t>demonstruje</w:t>
      </w:r>
      <w:r w:rsidRPr="001056BA">
        <w:rPr>
          <w:rFonts w:ascii="NobelCE Lt" w:hAnsi="NobelCE Lt"/>
        </w:rPr>
        <w:t xml:space="preserve"> pomocí polykarbonátových žeber připevněných ke konstrukčnímu prvku z hliníku. </w:t>
      </w:r>
    </w:p>
    <w:p w14:paraId="3B7555F2" w14:textId="77777777" w:rsidR="001056BA" w:rsidRPr="001056BA" w:rsidRDefault="001056BA" w:rsidP="001056BA">
      <w:pPr>
        <w:rPr>
          <w:rFonts w:ascii="NobelCE Lt" w:hAnsi="NobelCE Lt"/>
        </w:rPr>
      </w:pPr>
    </w:p>
    <w:p w14:paraId="1F6EFAB6" w14:textId="77777777" w:rsidR="001056BA" w:rsidRPr="008D205F" w:rsidRDefault="001056BA" w:rsidP="001056BA">
      <w:pPr>
        <w:rPr>
          <w:rFonts w:ascii="NobelCE Lt" w:hAnsi="NobelCE Lt"/>
          <w:b/>
        </w:rPr>
      </w:pPr>
      <w:r w:rsidRPr="008D205F">
        <w:rPr>
          <w:rFonts w:ascii="NobelCE Lt" w:hAnsi="NobelCE Lt"/>
          <w:b/>
        </w:rPr>
        <w:t>D</w:t>
      </w:r>
      <w:r w:rsidR="008D205F">
        <w:rPr>
          <w:rFonts w:ascii="NobelCE Lt" w:hAnsi="NobelCE Lt"/>
          <w:b/>
        </w:rPr>
        <w:t>va způsoby vnímání luxusu v jedné kabině</w:t>
      </w:r>
    </w:p>
    <w:p w14:paraId="7F94CAC4" w14:textId="77777777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Pro </w:t>
      </w:r>
      <w:r w:rsidR="00FF4C09">
        <w:rPr>
          <w:rFonts w:ascii="NobelCE Lt" w:hAnsi="NobelCE Lt"/>
        </w:rPr>
        <w:t xml:space="preserve">tento vůz </w:t>
      </w:r>
      <w:r w:rsidRPr="001056BA">
        <w:rPr>
          <w:rFonts w:ascii="NobelCE Lt" w:hAnsi="NobelCE Lt"/>
        </w:rPr>
        <w:t xml:space="preserve">je charakteristický dvojí způsob vnímání luxusu v jednom prostředí, což odráží dualitu v podobě ostrých a agresivních předních blatníků, resp. měkčí a přívětivější podoby blatníků zadních. </w:t>
      </w:r>
    </w:p>
    <w:p w14:paraId="0A33B951" w14:textId="77777777" w:rsidR="008D205F" w:rsidRPr="001056BA" w:rsidRDefault="008D205F" w:rsidP="001056BA">
      <w:pPr>
        <w:rPr>
          <w:rFonts w:ascii="NobelCE Lt" w:hAnsi="NobelCE Lt"/>
        </w:rPr>
      </w:pPr>
    </w:p>
    <w:p w14:paraId="7D59127E" w14:textId="77777777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Přední část kabiny zhmotňuje agilní so</w:t>
      </w:r>
      <w:r w:rsidR="00FF4C09">
        <w:rPr>
          <w:rFonts w:ascii="NobelCE Lt" w:hAnsi="NobelCE Lt"/>
        </w:rPr>
        <w:t>fistikovanost a zapojení řidiče. Z</w:t>
      </w:r>
      <w:r w:rsidRPr="001056BA">
        <w:rPr>
          <w:rFonts w:ascii="NobelCE Lt" w:hAnsi="NobelCE Lt"/>
        </w:rPr>
        <w:t>adní část</w:t>
      </w:r>
      <w:r w:rsidR="00FF4C09">
        <w:rPr>
          <w:rFonts w:ascii="NobelCE Lt" w:hAnsi="NobelCE Lt"/>
        </w:rPr>
        <w:t xml:space="preserve">, která je </w:t>
      </w:r>
      <w:r w:rsidRPr="001056BA">
        <w:rPr>
          <w:rFonts w:ascii="NobelCE Lt" w:hAnsi="NobelCE Lt"/>
        </w:rPr>
        <w:t>ztvárněná jako měkká pohovka v obývacím pokoji</w:t>
      </w:r>
      <w:r w:rsidR="00FF4C09">
        <w:rPr>
          <w:rFonts w:ascii="NobelCE Lt" w:hAnsi="NobelCE Lt"/>
        </w:rPr>
        <w:t xml:space="preserve"> a </w:t>
      </w:r>
      <w:r w:rsidR="00FF4C09" w:rsidRPr="001056BA">
        <w:rPr>
          <w:rFonts w:ascii="NobelCE Lt" w:hAnsi="NobelCE Lt"/>
        </w:rPr>
        <w:t>je synonymem pohodlí a prostornosti odolného SUV</w:t>
      </w:r>
      <w:r w:rsidRPr="001056BA">
        <w:rPr>
          <w:rFonts w:ascii="NobelCE Lt" w:hAnsi="NobelCE Lt"/>
        </w:rPr>
        <w:t xml:space="preserve">, </w:t>
      </w:r>
      <w:r w:rsidR="00FF4C09">
        <w:rPr>
          <w:rFonts w:ascii="NobelCE Lt" w:hAnsi="NobelCE Lt"/>
        </w:rPr>
        <w:t xml:space="preserve">pak </w:t>
      </w:r>
      <w:r w:rsidRPr="001056BA">
        <w:rPr>
          <w:rFonts w:ascii="NobelCE Lt" w:hAnsi="NobelCE Lt"/>
        </w:rPr>
        <w:t>nenásilně navazuj</w:t>
      </w:r>
      <w:r w:rsidR="00FF4C09">
        <w:rPr>
          <w:rFonts w:ascii="NobelCE Lt" w:hAnsi="NobelCE Lt"/>
        </w:rPr>
        <w:t>e</w:t>
      </w:r>
      <w:r w:rsidRPr="001056BA">
        <w:rPr>
          <w:rFonts w:ascii="NobelCE Lt" w:hAnsi="NobelCE Lt"/>
        </w:rPr>
        <w:t xml:space="preserve"> na zadní, protisměrně otevírané dveře</w:t>
      </w:r>
      <w:r w:rsidR="00FF4C09">
        <w:rPr>
          <w:rFonts w:ascii="NobelCE Lt" w:hAnsi="NobelCE Lt"/>
        </w:rPr>
        <w:t xml:space="preserve">. </w:t>
      </w:r>
    </w:p>
    <w:p w14:paraId="5D276335" w14:textId="77777777" w:rsidR="008D205F" w:rsidRPr="001056BA" w:rsidRDefault="008D205F" w:rsidP="001056BA">
      <w:pPr>
        <w:rPr>
          <w:rFonts w:ascii="NobelCE Lt" w:hAnsi="NobelCE Lt"/>
        </w:rPr>
      </w:pPr>
    </w:p>
    <w:p w14:paraId="4B15D6C6" w14:textId="50636481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Rozdíly mezi přední a zadní částí kabiny – </w:t>
      </w:r>
      <w:r w:rsidRPr="00D4754F">
        <w:rPr>
          <w:rFonts w:ascii="NobelCE Lt" w:hAnsi="NobelCE Lt"/>
        </w:rPr>
        <w:t>propojené konzol</w:t>
      </w:r>
      <w:r w:rsidR="00D4754F" w:rsidRPr="00D4754F">
        <w:rPr>
          <w:rFonts w:ascii="NobelCE Lt" w:hAnsi="NobelCE Lt"/>
        </w:rPr>
        <w:t>ou</w:t>
      </w:r>
      <w:r w:rsidRPr="00D4754F">
        <w:rPr>
          <w:rFonts w:ascii="NobelCE Lt" w:hAnsi="NobelCE Lt"/>
        </w:rPr>
        <w:t xml:space="preserve"> probíhající ve středové ose po celé délce kabiny, resp. optickou průhledností předních sedadel jedinečné konstrukce – jsou ještě akcentovány barevným schématem interiéru. Předek je tmavý, čímž hlásá prémiový charakter prostředí zaměřeného na řidiče, zatímco zadní část kabiny je světlá a výrazně jasnější, čímž evokuje</w:t>
      </w:r>
      <w:r w:rsidRPr="001056BA">
        <w:rPr>
          <w:rFonts w:ascii="NobelCE Lt" w:hAnsi="NobelCE Lt"/>
        </w:rPr>
        <w:t xml:space="preserve"> atraktivní a přívětivou atmosféru. </w:t>
      </w:r>
    </w:p>
    <w:p w14:paraId="1FDD40B3" w14:textId="77777777" w:rsidR="001056BA" w:rsidRPr="001056BA" w:rsidRDefault="001056BA" w:rsidP="001056BA">
      <w:pPr>
        <w:rPr>
          <w:rFonts w:ascii="NobelCE Lt" w:hAnsi="NobelCE Lt"/>
        </w:rPr>
      </w:pPr>
    </w:p>
    <w:p w14:paraId="0607D38B" w14:textId="77777777" w:rsidR="001056BA" w:rsidRPr="001A423C" w:rsidRDefault="001056BA" w:rsidP="001056BA">
      <w:pPr>
        <w:rPr>
          <w:rFonts w:ascii="NobelCE Lt" w:hAnsi="NobelCE Lt"/>
          <w:b/>
        </w:rPr>
      </w:pPr>
      <w:r w:rsidRPr="001A423C">
        <w:rPr>
          <w:rFonts w:ascii="NobelCE Lt" w:hAnsi="NobelCE Lt"/>
          <w:b/>
        </w:rPr>
        <w:t>I</w:t>
      </w:r>
      <w:r w:rsidR="001A423C">
        <w:rPr>
          <w:rFonts w:ascii="NobelCE Lt" w:hAnsi="NobelCE Lt"/>
          <w:b/>
        </w:rPr>
        <w:t>nteriér v duchu dekonstrukce</w:t>
      </w:r>
    </w:p>
    <w:p w14:paraId="754B3E08" w14:textId="3B8D894E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Druhým klíčovým designovým principem, uplatněným při návrhu nového modelu Lexus UX Concept, je tzv. „dekonstrukce“. T</w:t>
      </w:r>
      <w:r w:rsidR="001A423C">
        <w:rPr>
          <w:rFonts w:ascii="NobelCE Lt" w:hAnsi="NobelCE Lt"/>
        </w:rPr>
        <w:t xml:space="preserve">a </w:t>
      </w:r>
      <w:r w:rsidRPr="001056BA">
        <w:rPr>
          <w:rFonts w:ascii="NobelCE Lt" w:hAnsi="NobelCE Lt"/>
        </w:rPr>
        <w:t>je nejvíce patrn</w:t>
      </w:r>
      <w:r w:rsidR="001A423C">
        <w:rPr>
          <w:rFonts w:ascii="NobelCE Lt" w:hAnsi="NobelCE Lt"/>
        </w:rPr>
        <w:t>á</w:t>
      </w:r>
      <w:r w:rsidRPr="001056BA">
        <w:rPr>
          <w:rFonts w:ascii="NobelCE Lt" w:hAnsi="NobelCE Lt"/>
        </w:rPr>
        <w:t xml:space="preserve"> v přední části kabiny, kde namísto tradiční přístrojové desky zaujmou zalomené, vzájemně se překrývající tvary, které tak tvoří zajímavou hru stínů a kontrastů</w:t>
      </w:r>
      <w:r w:rsidR="00DF1DEA">
        <w:rPr>
          <w:rFonts w:ascii="NobelCE Lt" w:hAnsi="NobelCE Lt"/>
        </w:rPr>
        <w:t xml:space="preserve"> </w:t>
      </w:r>
      <w:r w:rsidRPr="001056BA">
        <w:rPr>
          <w:rFonts w:ascii="NobelCE Lt" w:hAnsi="NobelCE Lt"/>
        </w:rPr>
        <w:t>znesnadňující schopnost rozlišit, kde který prvek začíná a kde končí, čímž se ještě prohlubuje tajemno zvoleného přístupu „zevnitř ven“.</w:t>
      </w:r>
    </w:p>
    <w:p w14:paraId="62979E22" w14:textId="77777777" w:rsidR="001A423C" w:rsidRPr="001056BA" w:rsidRDefault="001A423C" w:rsidP="001056BA">
      <w:pPr>
        <w:rPr>
          <w:rFonts w:ascii="NobelCE Lt" w:hAnsi="NobelCE Lt"/>
        </w:rPr>
      </w:pPr>
    </w:p>
    <w:p w14:paraId="6D9A6779" w14:textId="257D3180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Tento japonský přístup k návrhu poukazuje na to, že chcete-li vytvořit pevný bod, stačí, když naznačíte jeho teoretické umístění pomocí sbíhajících se křivek, a váš mozek si už chybějící místa sám dovodí, tj. příslušný bod vyplní ve vaší mysli. Takováto „nepřímá interpretace“ – předpoklad, že něco v daném místě vnímáte, ačkoli to nutně nemusíte fyzicky vidět – tvoří jádro designové filozofie L-finesse automobilky Lexus.</w:t>
      </w:r>
    </w:p>
    <w:p w14:paraId="57808717" w14:textId="77777777" w:rsidR="001A423C" w:rsidRPr="001056BA" w:rsidRDefault="001A423C" w:rsidP="001056BA">
      <w:pPr>
        <w:rPr>
          <w:rFonts w:ascii="NobelCE Lt" w:hAnsi="NobelCE Lt"/>
        </w:rPr>
      </w:pPr>
    </w:p>
    <w:p w14:paraId="78CB5A30" w14:textId="77777777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V jedinečném interiéru v duchu dekonstrukce se uplatňuje i výrazný princip „Seat in Control“ (orientace na řidiče), typický pro vozy značky Lexus. Zóna kolem předního spolujezdce byla v hierarchii prostoru záměrně potlačena, aby byla zdůrazněna skutečnost, že prostředí je určeno především pro řidiče. </w:t>
      </w:r>
    </w:p>
    <w:p w14:paraId="2C4FE5AA" w14:textId="77777777" w:rsidR="001056BA" w:rsidRPr="001056BA" w:rsidRDefault="001056BA" w:rsidP="001056BA">
      <w:pPr>
        <w:rPr>
          <w:rFonts w:ascii="NobelCE Lt" w:hAnsi="NobelCE Lt"/>
        </w:rPr>
      </w:pPr>
    </w:p>
    <w:p w14:paraId="102A78E9" w14:textId="77777777" w:rsidR="001056BA" w:rsidRPr="001A423C" w:rsidRDefault="001056BA" w:rsidP="001056BA">
      <w:pPr>
        <w:rPr>
          <w:rFonts w:ascii="NobelCE Lt" w:hAnsi="NobelCE Lt"/>
          <w:b/>
        </w:rPr>
      </w:pPr>
      <w:r w:rsidRPr="001A423C">
        <w:rPr>
          <w:rFonts w:ascii="NobelCE Lt" w:hAnsi="NobelCE Lt"/>
          <w:b/>
        </w:rPr>
        <w:t>P</w:t>
      </w:r>
      <w:r w:rsidR="001A423C" w:rsidRPr="001A423C">
        <w:rPr>
          <w:rFonts w:ascii="NobelCE Lt" w:hAnsi="NobelCE Lt"/>
          <w:b/>
        </w:rPr>
        <w:t>růkopnická technologie sedadel</w:t>
      </w:r>
    </w:p>
    <w:p w14:paraId="486D476E" w14:textId="77777777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Sedadla použitá ve studii Lexus UX Concept se inspirují novou technologií sedadel „Kinetic Seat“, jejímž cílem je opět zpříjemnit pobyt za volantem a zdůraznit pocity prostornosti a prosvětlení celé ka</w:t>
      </w:r>
      <w:r w:rsidR="001A423C">
        <w:rPr>
          <w:rFonts w:ascii="NobelCE Lt" w:hAnsi="NobelCE Lt"/>
        </w:rPr>
        <w:t xml:space="preserve">biny. </w:t>
      </w:r>
      <w:r w:rsidRPr="001056BA">
        <w:rPr>
          <w:rFonts w:ascii="NobelCE Lt" w:hAnsi="NobelCE Lt"/>
        </w:rPr>
        <w:t xml:space="preserve">Koncepce sedadel Kinetic Seat je podrobněji popsána v samostatné kapitole tohoto </w:t>
      </w:r>
      <w:r w:rsidR="001A423C">
        <w:rPr>
          <w:rFonts w:ascii="NobelCE Lt" w:hAnsi="NobelCE Lt"/>
        </w:rPr>
        <w:t>press kitu</w:t>
      </w:r>
      <w:r w:rsidRPr="001056BA">
        <w:rPr>
          <w:rFonts w:ascii="NobelCE Lt" w:hAnsi="NobelCE Lt"/>
        </w:rPr>
        <w:t xml:space="preserve">. </w:t>
      </w:r>
    </w:p>
    <w:p w14:paraId="235A1710" w14:textId="77777777" w:rsidR="001056BA" w:rsidRPr="001056BA" w:rsidRDefault="001056BA" w:rsidP="001056BA">
      <w:pPr>
        <w:rPr>
          <w:rFonts w:ascii="NobelCE Lt" w:hAnsi="NobelCE Lt"/>
        </w:rPr>
      </w:pPr>
    </w:p>
    <w:p w14:paraId="52337AF5" w14:textId="77777777" w:rsidR="001056BA" w:rsidRPr="001A423C" w:rsidRDefault="001056BA" w:rsidP="001056BA">
      <w:pPr>
        <w:rPr>
          <w:rFonts w:ascii="NobelCE Lt" w:hAnsi="NobelCE Lt"/>
          <w:b/>
        </w:rPr>
      </w:pPr>
      <w:r w:rsidRPr="001A423C">
        <w:rPr>
          <w:rFonts w:ascii="NobelCE Lt" w:hAnsi="NobelCE Lt"/>
          <w:b/>
        </w:rPr>
        <w:t>N</w:t>
      </w:r>
      <w:r w:rsidR="001A423C">
        <w:rPr>
          <w:rFonts w:ascii="NobelCE Lt" w:hAnsi="NobelCE Lt"/>
          <w:b/>
        </w:rPr>
        <w:t>ápaditá technologie</w:t>
      </w:r>
      <w:r w:rsidRPr="001A423C">
        <w:rPr>
          <w:rFonts w:ascii="NobelCE Lt" w:hAnsi="NobelCE Lt"/>
          <w:b/>
        </w:rPr>
        <w:t xml:space="preserve"> 3D </w:t>
      </w:r>
    </w:p>
    <w:p w14:paraId="1C00E10C" w14:textId="77777777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Veškeré p</w:t>
      </w:r>
      <w:r w:rsidR="001A423C">
        <w:rPr>
          <w:rFonts w:ascii="NobelCE Lt" w:hAnsi="NobelCE Lt"/>
        </w:rPr>
        <w:t>alubní technologie rozhraní HMI</w:t>
      </w:r>
      <w:r w:rsidRPr="001056BA">
        <w:rPr>
          <w:rFonts w:ascii="NobelCE Lt" w:hAnsi="NobelCE Lt"/>
        </w:rPr>
        <w:t xml:space="preserve"> představují další vývojový stupeň koncepce Lexus</w:t>
      </w:r>
      <w:r w:rsidR="001A423C">
        <w:rPr>
          <w:rFonts w:ascii="NobelCE Lt" w:hAnsi="NobelCE Lt"/>
        </w:rPr>
        <w:t>u</w:t>
      </w:r>
      <w:r w:rsidRPr="001056BA">
        <w:rPr>
          <w:rFonts w:ascii="NobelCE Lt" w:hAnsi="NobelCE Lt"/>
        </w:rPr>
        <w:t xml:space="preserve"> prosazující přístroje rozdělené na dvě samostatné zóny</w:t>
      </w:r>
      <w:r w:rsidR="001A423C">
        <w:rPr>
          <w:rFonts w:ascii="NobelCE Lt" w:hAnsi="NobelCE Lt"/>
        </w:rPr>
        <w:t>. V konceptu UX</w:t>
      </w:r>
      <w:r w:rsidRPr="001056BA">
        <w:rPr>
          <w:rFonts w:ascii="NobelCE Lt" w:hAnsi="NobelCE Lt"/>
        </w:rPr>
        <w:t xml:space="preserve"> byly řešeny tak, aby moderním zákazníkům</w:t>
      </w:r>
      <w:r w:rsidR="001A423C">
        <w:rPr>
          <w:rFonts w:ascii="NobelCE Lt" w:hAnsi="NobelCE Lt"/>
        </w:rPr>
        <w:t>,</w:t>
      </w:r>
      <w:r w:rsidRPr="001056BA">
        <w:rPr>
          <w:rFonts w:ascii="NobelCE Lt" w:hAnsi="NobelCE Lt"/>
        </w:rPr>
        <w:t xml:space="preserve"> žijícím a pracujícím v dnešním stále více propojeném </w:t>
      </w:r>
      <w:r w:rsidR="001A423C">
        <w:rPr>
          <w:rFonts w:ascii="NobelCE Lt" w:hAnsi="NobelCE Lt"/>
        </w:rPr>
        <w:t>světě,</w:t>
      </w:r>
      <w:r w:rsidRPr="001056BA">
        <w:rPr>
          <w:rFonts w:ascii="NobelCE Lt" w:hAnsi="NobelCE Lt"/>
        </w:rPr>
        <w:t xml:space="preserve"> nabídly pokrokové prostředí s důrazem na prostorové zpracování (3D). </w:t>
      </w:r>
    </w:p>
    <w:p w14:paraId="68C64D3E" w14:textId="77777777" w:rsidR="001A423C" w:rsidRPr="001056BA" w:rsidRDefault="001A423C" w:rsidP="001056BA">
      <w:pPr>
        <w:rPr>
          <w:rFonts w:ascii="NobelCE Lt" w:hAnsi="NobelCE Lt"/>
        </w:rPr>
      </w:pPr>
    </w:p>
    <w:p w14:paraId="1A8E3318" w14:textId="77777777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Výrazně prostorový efekt přístrojů je další ukázkou radikálních metod dekonstrukce použitých u </w:t>
      </w:r>
      <w:r w:rsidR="001A423C">
        <w:rPr>
          <w:rFonts w:ascii="NobelCE Lt" w:hAnsi="NobelCE Lt"/>
        </w:rPr>
        <w:t xml:space="preserve">této </w:t>
      </w:r>
      <w:r w:rsidRPr="001056BA">
        <w:rPr>
          <w:rFonts w:ascii="NobelCE Lt" w:hAnsi="NobelCE Lt"/>
        </w:rPr>
        <w:t>studie</w:t>
      </w:r>
      <w:r w:rsidR="001A423C">
        <w:rPr>
          <w:rFonts w:ascii="NobelCE Lt" w:hAnsi="NobelCE Lt"/>
        </w:rPr>
        <w:t>. D</w:t>
      </w:r>
      <w:r w:rsidRPr="001056BA">
        <w:rPr>
          <w:rFonts w:ascii="NobelCE Lt" w:hAnsi="NobelCE Lt"/>
        </w:rPr>
        <w:t xml:space="preserve">íky pomyslnému toku přístrojů dovnitř a ven – klimatizace blíže, navigace dále – působí kabina celkově prostorněji. </w:t>
      </w:r>
    </w:p>
    <w:p w14:paraId="5C4AE4F3" w14:textId="77777777" w:rsidR="001A423C" w:rsidRPr="001056BA" w:rsidRDefault="001A423C" w:rsidP="001056BA">
      <w:pPr>
        <w:rPr>
          <w:rFonts w:ascii="NobelCE Lt" w:hAnsi="NobelCE Lt"/>
        </w:rPr>
      </w:pPr>
    </w:p>
    <w:p w14:paraId="403E3830" w14:textId="77777777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Například obraz horního displeje se promítá tak, aby se nacházel v dálce pod kapotou, čímž se usnadňuje jeho sledování během řízení. V panelu se sdruženými přístroji se zobrazuje průhledná plovoucí koule v podobě hologramu, na níž se prostřednictvím analogových a digitálních údajů vytváří neočekávané, avšak </w:t>
      </w:r>
      <w:r w:rsidR="001A423C">
        <w:rPr>
          <w:rFonts w:ascii="NobelCE Lt" w:hAnsi="NobelCE Lt"/>
        </w:rPr>
        <w:t xml:space="preserve">plně </w:t>
      </w:r>
      <w:r w:rsidRPr="001056BA">
        <w:rPr>
          <w:rFonts w:ascii="NobelCE Lt" w:hAnsi="NobelCE Lt"/>
        </w:rPr>
        <w:t xml:space="preserve">funkční uživatelské rozhraní. </w:t>
      </w:r>
    </w:p>
    <w:p w14:paraId="2DFE5138" w14:textId="77777777" w:rsidR="001A423C" w:rsidRPr="001056BA" w:rsidRDefault="001A423C" w:rsidP="001056BA">
      <w:pPr>
        <w:rPr>
          <w:rFonts w:ascii="NobelCE Lt" w:hAnsi="NobelCE Lt"/>
        </w:rPr>
      </w:pPr>
    </w:p>
    <w:p w14:paraId="107EABA3" w14:textId="77777777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A na středovém panelu najdeme markantní krystalický prvek s mnohačetnými ploškami, v němž se formou hologramu zobrazují informace klimatizace a systému palubního infotainmentu, jasně čitelné z pozice řidiče i předního spolujezdce. </w:t>
      </w:r>
    </w:p>
    <w:p w14:paraId="668B3AF8" w14:textId="77777777" w:rsidR="001056BA" w:rsidRPr="001056BA" w:rsidRDefault="001056BA" w:rsidP="001056BA">
      <w:pPr>
        <w:rPr>
          <w:rFonts w:ascii="NobelCE Lt" w:hAnsi="NobelCE Lt"/>
        </w:rPr>
      </w:pPr>
    </w:p>
    <w:p w14:paraId="06622320" w14:textId="77777777" w:rsidR="001056BA" w:rsidRPr="001A423C" w:rsidRDefault="001056BA" w:rsidP="001056BA">
      <w:pPr>
        <w:rPr>
          <w:rFonts w:ascii="NobelCE Lt" w:hAnsi="NobelCE Lt"/>
          <w:b/>
        </w:rPr>
      </w:pPr>
      <w:r w:rsidRPr="001A423C">
        <w:rPr>
          <w:rFonts w:ascii="NobelCE Lt" w:hAnsi="NobelCE Lt"/>
          <w:b/>
        </w:rPr>
        <w:t>P</w:t>
      </w:r>
      <w:r w:rsidR="001A423C">
        <w:rPr>
          <w:rFonts w:ascii="NobelCE Lt" w:hAnsi="NobelCE Lt"/>
          <w:b/>
        </w:rPr>
        <w:t xml:space="preserve">oslední novinky na poli elektrotechniky </w:t>
      </w:r>
    </w:p>
    <w:p w14:paraId="7DEA2CBB" w14:textId="64EACF6F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V nové vývojové studii UX Concept se představují i poslední novinky na poli elektrotechniky. Najdeme zde např. elektro-chromatická (automaticky </w:t>
      </w:r>
      <w:r w:rsidR="006C7145">
        <w:rPr>
          <w:rFonts w:ascii="NobelCE Lt" w:hAnsi="NobelCE Lt"/>
        </w:rPr>
        <w:t>stmívatelná</w:t>
      </w:r>
      <w:r w:rsidRPr="001056BA">
        <w:rPr>
          <w:rFonts w:ascii="NobelCE Lt" w:hAnsi="NobelCE Lt"/>
        </w:rPr>
        <w:t xml:space="preserve">) okna nebo štíhlé kamery elektronických zrcátek, které nahrazují výrazně větší vnější zpětná zrcátka. </w:t>
      </w:r>
    </w:p>
    <w:p w14:paraId="1BC30549" w14:textId="77777777" w:rsidR="001A423C" w:rsidRPr="001056BA" w:rsidRDefault="001A423C" w:rsidP="001056BA">
      <w:pPr>
        <w:rPr>
          <w:rFonts w:ascii="NobelCE Lt" w:hAnsi="NobelCE Lt"/>
        </w:rPr>
      </w:pPr>
    </w:p>
    <w:p w14:paraId="23AE8508" w14:textId="77777777" w:rsidR="001A423C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Obraz z levé i pravé kamery elektronických zrcátek se ukazuje na palubních displejích, jejichž integrace není pouhým detailem, ale dalším vyjádřením celkové koncepce „zevnitř ven“, architektury přístrojové desky v duchu dekonstrukce.</w:t>
      </w:r>
    </w:p>
    <w:p w14:paraId="793250A1" w14:textId="77777777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 </w:t>
      </w:r>
    </w:p>
    <w:p w14:paraId="1A4C30B1" w14:textId="57C9D88D" w:rsid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Veškeré ovládací prvky jsou elektrostatické a vždy se nachá</w:t>
      </w:r>
      <w:r w:rsidR="006C7145">
        <w:rPr>
          <w:rFonts w:ascii="NobelCE Lt" w:hAnsi="NobelCE Lt"/>
        </w:rPr>
        <w:t>zejí pod transparentními kryty. Sp</w:t>
      </w:r>
      <w:r w:rsidRPr="001056BA">
        <w:rPr>
          <w:rFonts w:ascii="NobelCE Lt" w:hAnsi="NobelCE Lt"/>
        </w:rPr>
        <w:t>olujezdec</w:t>
      </w:r>
      <w:r w:rsidR="006C7145">
        <w:rPr>
          <w:rFonts w:ascii="NobelCE Lt" w:hAnsi="NobelCE Lt"/>
        </w:rPr>
        <w:t xml:space="preserve"> řidiče</w:t>
      </w:r>
      <w:r w:rsidRPr="001056BA">
        <w:rPr>
          <w:rFonts w:ascii="NobelCE Lt" w:hAnsi="NobelCE Lt"/>
        </w:rPr>
        <w:t xml:space="preserve">, jenž vnímá dekonstruovaný přístrojový panel jinak než samotný řidič, může ovládat centrální displej pomocí samostatného touchpadu zabudovaného do panelu loketní opěrky ve dveřích. </w:t>
      </w:r>
    </w:p>
    <w:p w14:paraId="77F4C80B" w14:textId="77777777" w:rsidR="001A423C" w:rsidRPr="001056BA" w:rsidRDefault="001A423C" w:rsidP="001056BA">
      <w:pPr>
        <w:rPr>
          <w:rFonts w:ascii="NobelCE Lt" w:hAnsi="NobelCE Lt"/>
        </w:rPr>
      </w:pPr>
    </w:p>
    <w:p w14:paraId="04AB54B9" w14:textId="75857169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>A konečně motiv žebra použitý v předních A-sloupcích se opakuje u nové audio soustavy, zaměřené na mladší zájemce o vozy Lexus</w:t>
      </w:r>
      <w:r w:rsidR="00DD6EE8">
        <w:rPr>
          <w:rFonts w:ascii="NobelCE Lt" w:hAnsi="NobelCE Lt"/>
        </w:rPr>
        <w:t>,</w:t>
      </w:r>
      <w:r w:rsidRPr="001056BA">
        <w:rPr>
          <w:rFonts w:ascii="NobelCE Lt" w:hAnsi="NobelCE Lt"/>
        </w:rPr>
        <w:t xml:space="preserve"> v novém odnímatelném soundbaru vestavěném do přístrojové desky na straně spolujezdce. </w:t>
      </w:r>
    </w:p>
    <w:p w14:paraId="3BDDE119" w14:textId="77777777" w:rsidR="001056BA" w:rsidRPr="001056BA" w:rsidRDefault="001056BA" w:rsidP="001056BA">
      <w:pPr>
        <w:rPr>
          <w:rFonts w:ascii="NobelCE Lt" w:hAnsi="NobelCE Lt"/>
        </w:rPr>
      </w:pPr>
    </w:p>
    <w:p w14:paraId="4A115625" w14:textId="77777777" w:rsidR="001056BA" w:rsidRPr="00DD6EE8" w:rsidRDefault="001056BA" w:rsidP="001056BA">
      <w:pPr>
        <w:rPr>
          <w:rFonts w:ascii="NobelCE Lt" w:hAnsi="NobelCE Lt"/>
          <w:b/>
        </w:rPr>
      </w:pPr>
      <w:r w:rsidRPr="00DD6EE8">
        <w:rPr>
          <w:rFonts w:ascii="NobelCE Lt" w:hAnsi="NobelCE Lt"/>
          <w:b/>
        </w:rPr>
        <w:t>N</w:t>
      </w:r>
      <w:r w:rsidR="00DD6EE8">
        <w:rPr>
          <w:rFonts w:ascii="NobelCE Lt" w:hAnsi="NobelCE Lt"/>
          <w:b/>
        </w:rPr>
        <w:t>ové pojetí ergonomie</w:t>
      </w:r>
      <w:r w:rsidRPr="00DD6EE8">
        <w:rPr>
          <w:rFonts w:ascii="NobelCE Lt" w:hAnsi="NobelCE Lt"/>
          <w:b/>
        </w:rPr>
        <w:t xml:space="preserve"> </w:t>
      </w:r>
    </w:p>
    <w:p w14:paraId="1622B005" w14:textId="77777777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V rámci nového pojetí koncepce rozhraní vozů Lexus se ergonomie v oblasti kokpitu rozvíjí směrem od řidiče prostřednictvím sedadla až k volantu, čímž nahrazuje tradiční uspořádání přístrojové desky. </w:t>
      </w:r>
    </w:p>
    <w:p w14:paraId="4BC77CD8" w14:textId="77777777" w:rsidR="001056BA" w:rsidRPr="001056BA" w:rsidRDefault="001056BA" w:rsidP="001056BA">
      <w:pPr>
        <w:rPr>
          <w:rFonts w:ascii="NobelCE Lt" w:hAnsi="NobelCE Lt"/>
        </w:rPr>
      </w:pPr>
      <w:r w:rsidRPr="001056BA">
        <w:rPr>
          <w:rFonts w:ascii="NobelCE Lt" w:hAnsi="NobelCE Lt"/>
        </w:rPr>
        <w:t xml:space="preserve">I tento designový přístup v kombinaci s pokrokovou technologií 3D rozhraní přispívá k jedinečnému a co největšímu požitku z jízdy. </w:t>
      </w:r>
    </w:p>
    <w:p w14:paraId="3F0D39D1" w14:textId="77777777" w:rsidR="001056BA" w:rsidRPr="001056BA" w:rsidRDefault="001056BA" w:rsidP="001056BA">
      <w:pPr>
        <w:rPr>
          <w:rFonts w:ascii="NobelCE Lt" w:hAnsi="NobelCE Lt"/>
        </w:rPr>
      </w:pPr>
    </w:p>
    <w:p w14:paraId="796FEE79" w14:textId="77777777" w:rsidR="001056BA" w:rsidRPr="00DD6EE8" w:rsidRDefault="00DD6EE8" w:rsidP="001056BA">
      <w:pPr>
        <w:rPr>
          <w:rFonts w:ascii="NobelCE Lt" w:hAnsi="NobelCE Lt"/>
          <w:b/>
        </w:rPr>
      </w:pPr>
      <w:r>
        <w:rPr>
          <w:rFonts w:ascii="NobelCE Lt" w:hAnsi="NobelCE Lt"/>
          <w:b/>
        </w:rPr>
        <w:t>Technické údaje konceptu UX</w:t>
      </w:r>
    </w:p>
    <w:p w14:paraId="561C9935" w14:textId="77777777" w:rsidR="00DD6EE8" w:rsidRPr="001056BA" w:rsidRDefault="00DD6EE8" w:rsidP="001056BA">
      <w:pPr>
        <w:rPr>
          <w:rFonts w:ascii="NobelCE Lt" w:hAnsi="NobelCE 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5890"/>
      </w:tblGrid>
      <w:tr w:rsidR="001056BA" w:rsidRPr="001056BA" w14:paraId="4DDA0921" w14:textId="77777777" w:rsidTr="000F7B0D">
        <w:tc>
          <w:tcPr>
            <w:tcW w:w="3172" w:type="dxa"/>
            <w:shd w:val="clear" w:color="auto" w:fill="auto"/>
          </w:tcPr>
          <w:p w14:paraId="222E6CD5" w14:textId="77777777" w:rsidR="001056BA" w:rsidRPr="001056BA" w:rsidRDefault="001056BA" w:rsidP="004D402D">
            <w:pPr>
              <w:rPr>
                <w:rFonts w:ascii="NobelCE Lt" w:hAnsi="NobelCE Lt"/>
              </w:rPr>
            </w:pPr>
            <w:r w:rsidRPr="001056BA">
              <w:rPr>
                <w:rFonts w:ascii="NobelCE Lt" w:hAnsi="NobelCE Lt"/>
              </w:rPr>
              <w:t>Délka</w:t>
            </w:r>
          </w:p>
        </w:tc>
        <w:tc>
          <w:tcPr>
            <w:tcW w:w="5890" w:type="dxa"/>
            <w:shd w:val="clear" w:color="auto" w:fill="auto"/>
          </w:tcPr>
          <w:p w14:paraId="6A11F467" w14:textId="77777777" w:rsidR="001056BA" w:rsidRPr="001056BA" w:rsidRDefault="001056BA" w:rsidP="004D402D">
            <w:pPr>
              <w:rPr>
                <w:rFonts w:ascii="NobelCE Lt" w:hAnsi="NobelCE Lt"/>
              </w:rPr>
            </w:pPr>
            <w:r w:rsidRPr="001056BA">
              <w:rPr>
                <w:rFonts w:ascii="NobelCE Lt" w:hAnsi="NobelCE Lt"/>
              </w:rPr>
              <w:t>4400 mm</w:t>
            </w:r>
          </w:p>
        </w:tc>
      </w:tr>
      <w:tr w:rsidR="001056BA" w:rsidRPr="001056BA" w14:paraId="0D14F952" w14:textId="77777777" w:rsidTr="000F7B0D">
        <w:tc>
          <w:tcPr>
            <w:tcW w:w="3172" w:type="dxa"/>
            <w:shd w:val="clear" w:color="auto" w:fill="auto"/>
          </w:tcPr>
          <w:p w14:paraId="409D1E8A" w14:textId="77777777" w:rsidR="001056BA" w:rsidRPr="001056BA" w:rsidRDefault="001056BA" w:rsidP="004D402D">
            <w:pPr>
              <w:rPr>
                <w:rFonts w:ascii="NobelCE Lt" w:hAnsi="NobelCE Lt"/>
              </w:rPr>
            </w:pPr>
            <w:r w:rsidRPr="001056BA">
              <w:rPr>
                <w:rFonts w:ascii="NobelCE Lt" w:hAnsi="NobelCE Lt"/>
              </w:rPr>
              <w:t xml:space="preserve">Výška </w:t>
            </w:r>
          </w:p>
        </w:tc>
        <w:tc>
          <w:tcPr>
            <w:tcW w:w="5890" w:type="dxa"/>
            <w:shd w:val="clear" w:color="auto" w:fill="auto"/>
          </w:tcPr>
          <w:p w14:paraId="66A96F05" w14:textId="77777777" w:rsidR="001056BA" w:rsidRPr="001056BA" w:rsidRDefault="001056BA" w:rsidP="004D402D">
            <w:pPr>
              <w:rPr>
                <w:rFonts w:ascii="NobelCE Lt" w:hAnsi="NobelCE Lt"/>
              </w:rPr>
            </w:pPr>
            <w:r w:rsidRPr="001056BA">
              <w:rPr>
                <w:rFonts w:ascii="NobelCE Lt" w:hAnsi="NobelCE Lt"/>
              </w:rPr>
              <w:t>1520 mm</w:t>
            </w:r>
          </w:p>
        </w:tc>
      </w:tr>
      <w:tr w:rsidR="001056BA" w:rsidRPr="001056BA" w14:paraId="0C520D4D" w14:textId="77777777" w:rsidTr="000F7B0D">
        <w:tc>
          <w:tcPr>
            <w:tcW w:w="3172" w:type="dxa"/>
            <w:shd w:val="clear" w:color="auto" w:fill="auto"/>
          </w:tcPr>
          <w:p w14:paraId="78AD84D8" w14:textId="77777777" w:rsidR="001056BA" w:rsidRPr="001056BA" w:rsidRDefault="001056BA" w:rsidP="004D402D">
            <w:pPr>
              <w:rPr>
                <w:rFonts w:ascii="NobelCE Lt" w:hAnsi="NobelCE Lt"/>
              </w:rPr>
            </w:pPr>
            <w:r w:rsidRPr="001056BA">
              <w:rPr>
                <w:rFonts w:ascii="NobelCE Lt" w:hAnsi="NobelCE Lt"/>
              </w:rPr>
              <w:t xml:space="preserve">Šířka </w:t>
            </w:r>
          </w:p>
        </w:tc>
        <w:tc>
          <w:tcPr>
            <w:tcW w:w="5890" w:type="dxa"/>
            <w:shd w:val="clear" w:color="auto" w:fill="auto"/>
          </w:tcPr>
          <w:p w14:paraId="33CE4C4E" w14:textId="77777777" w:rsidR="001056BA" w:rsidRPr="001056BA" w:rsidRDefault="001056BA" w:rsidP="004D402D">
            <w:pPr>
              <w:rPr>
                <w:rFonts w:ascii="NobelCE Lt" w:hAnsi="NobelCE Lt"/>
              </w:rPr>
            </w:pPr>
            <w:r w:rsidRPr="001056BA">
              <w:rPr>
                <w:rFonts w:ascii="NobelCE Lt" w:hAnsi="NobelCE Lt"/>
              </w:rPr>
              <w:t>1900 mm</w:t>
            </w:r>
          </w:p>
        </w:tc>
      </w:tr>
      <w:tr w:rsidR="001056BA" w:rsidRPr="001056BA" w14:paraId="0DBA1F2A" w14:textId="77777777" w:rsidTr="000F7B0D">
        <w:tc>
          <w:tcPr>
            <w:tcW w:w="3172" w:type="dxa"/>
            <w:shd w:val="clear" w:color="auto" w:fill="auto"/>
          </w:tcPr>
          <w:p w14:paraId="42D508F5" w14:textId="77777777" w:rsidR="001056BA" w:rsidRPr="001056BA" w:rsidRDefault="001056BA" w:rsidP="004D402D">
            <w:pPr>
              <w:rPr>
                <w:rFonts w:ascii="NobelCE Lt" w:hAnsi="NobelCE Lt"/>
              </w:rPr>
            </w:pPr>
            <w:r w:rsidRPr="001056BA">
              <w:rPr>
                <w:rFonts w:ascii="NobelCE Lt" w:hAnsi="NobelCE Lt"/>
              </w:rPr>
              <w:t xml:space="preserve">Rozvor </w:t>
            </w:r>
          </w:p>
        </w:tc>
        <w:tc>
          <w:tcPr>
            <w:tcW w:w="5890" w:type="dxa"/>
            <w:shd w:val="clear" w:color="auto" w:fill="auto"/>
          </w:tcPr>
          <w:p w14:paraId="01C56B83" w14:textId="77777777" w:rsidR="001056BA" w:rsidRPr="001056BA" w:rsidRDefault="001056BA" w:rsidP="004D402D">
            <w:pPr>
              <w:rPr>
                <w:rFonts w:ascii="NobelCE Lt" w:hAnsi="NobelCE Lt"/>
              </w:rPr>
            </w:pPr>
            <w:r w:rsidRPr="001056BA">
              <w:rPr>
                <w:rFonts w:ascii="NobelCE Lt" w:hAnsi="NobelCE Lt"/>
              </w:rPr>
              <w:t>2640 mm</w:t>
            </w:r>
          </w:p>
        </w:tc>
      </w:tr>
      <w:tr w:rsidR="001056BA" w:rsidRPr="001056BA" w14:paraId="34C797A9" w14:textId="77777777" w:rsidTr="000F7B0D">
        <w:tc>
          <w:tcPr>
            <w:tcW w:w="3172" w:type="dxa"/>
            <w:shd w:val="clear" w:color="auto" w:fill="auto"/>
          </w:tcPr>
          <w:p w14:paraId="384A45EF" w14:textId="77777777" w:rsidR="001056BA" w:rsidRPr="001056BA" w:rsidRDefault="001056BA" w:rsidP="004D402D">
            <w:pPr>
              <w:rPr>
                <w:rFonts w:ascii="NobelCE Lt" w:hAnsi="NobelCE Lt"/>
              </w:rPr>
            </w:pPr>
            <w:r w:rsidRPr="001056BA">
              <w:rPr>
                <w:rFonts w:ascii="NobelCE Lt" w:hAnsi="NobelCE Lt"/>
              </w:rPr>
              <w:t>Počet míst</w:t>
            </w:r>
          </w:p>
        </w:tc>
        <w:tc>
          <w:tcPr>
            <w:tcW w:w="5890" w:type="dxa"/>
            <w:shd w:val="clear" w:color="auto" w:fill="auto"/>
          </w:tcPr>
          <w:p w14:paraId="1469AABC" w14:textId="77777777" w:rsidR="001056BA" w:rsidRPr="001056BA" w:rsidRDefault="001056BA" w:rsidP="004D402D">
            <w:pPr>
              <w:rPr>
                <w:rFonts w:ascii="NobelCE Lt" w:hAnsi="NobelCE Lt"/>
              </w:rPr>
            </w:pPr>
            <w:r w:rsidRPr="001056BA">
              <w:rPr>
                <w:rFonts w:ascii="NobelCE Lt" w:hAnsi="NobelCE Lt"/>
              </w:rPr>
              <w:t>čtyři</w:t>
            </w:r>
          </w:p>
        </w:tc>
      </w:tr>
      <w:tr w:rsidR="001056BA" w:rsidRPr="001056BA" w14:paraId="3569C918" w14:textId="77777777" w:rsidTr="000F7B0D">
        <w:tc>
          <w:tcPr>
            <w:tcW w:w="3172" w:type="dxa"/>
            <w:shd w:val="clear" w:color="auto" w:fill="auto"/>
          </w:tcPr>
          <w:p w14:paraId="6811EC0F" w14:textId="77777777" w:rsidR="001056BA" w:rsidRPr="001056BA" w:rsidRDefault="001056BA" w:rsidP="004D402D">
            <w:pPr>
              <w:rPr>
                <w:rFonts w:ascii="NobelCE Lt" w:hAnsi="NobelCE Lt"/>
              </w:rPr>
            </w:pPr>
            <w:r w:rsidRPr="001056BA">
              <w:rPr>
                <w:rFonts w:ascii="NobelCE Lt" w:hAnsi="NobelCE Lt"/>
              </w:rPr>
              <w:t>Disky a pneumatiky</w:t>
            </w:r>
          </w:p>
        </w:tc>
        <w:tc>
          <w:tcPr>
            <w:tcW w:w="5890" w:type="dxa"/>
            <w:shd w:val="clear" w:color="auto" w:fill="auto"/>
          </w:tcPr>
          <w:p w14:paraId="1299E819" w14:textId="77777777" w:rsidR="001056BA" w:rsidRPr="001056BA" w:rsidRDefault="001056BA" w:rsidP="004D402D">
            <w:pPr>
              <w:rPr>
                <w:rFonts w:ascii="NobelCE Lt" w:hAnsi="NobelCE Lt"/>
              </w:rPr>
            </w:pPr>
            <w:r w:rsidRPr="001056BA">
              <w:rPr>
                <w:rFonts w:ascii="NobelCE Lt" w:hAnsi="NobelCE Lt"/>
              </w:rPr>
              <w:t>Jedinečné 21" disky spojené s pneumatikami 255/50 R21</w:t>
            </w:r>
          </w:p>
        </w:tc>
      </w:tr>
    </w:tbl>
    <w:p w14:paraId="36547888" w14:textId="77777777" w:rsidR="000F7B0D" w:rsidRPr="000F7B0D" w:rsidRDefault="000F7B0D" w:rsidP="000F7B0D">
      <w:pPr>
        <w:autoSpaceDE w:val="0"/>
        <w:autoSpaceDN w:val="0"/>
        <w:adjustRightInd w:val="0"/>
        <w:spacing w:line="320" w:lineRule="atLeast"/>
        <w:ind w:left="52"/>
        <w:jc w:val="center"/>
        <w:rPr>
          <w:rFonts w:ascii="NobelCE Lt" w:hAnsi="NobelCE Lt"/>
          <w:b/>
        </w:rPr>
      </w:pPr>
      <w:r w:rsidRPr="000F7B0D">
        <w:rPr>
          <w:rFonts w:ascii="NobelCE Lt" w:hAnsi="NobelCE Lt"/>
          <w:b/>
          <w:sz w:val="40"/>
        </w:rPr>
        <w:lastRenderedPageBreak/>
        <w:t xml:space="preserve">SVĚTOVÁ PREMIÉRA NOVÉ KONCEPCE SEDADEL </w:t>
      </w:r>
      <w:r w:rsidRPr="000F7B0D">
        <w:rPr>
          <w:rFonts w:ascii="NobelCE Lt" w:hAnsi="NobelCE Lt"/>
          <w:b/>
          <w:sz w:val="40"/>
        </w:rPr>
        <w:br/>
        <w:t>LEXUS „KINETIC SEAT“</w:t>
      </w:r>
      <w:r w:rsidRPr="000F7B0D">
        <w:rPr>
          <w:rFonts w:ascii="NobelCE Lt" w:hAnsi="NobelCE Lt"/>
          <w:b/>
        </w:rPr>
        <w:br/>
      </w:r>
    </w:p>
    <w:p w14:paraId="61A0D8F0" w14:textId="77777777" w:rsidR="000F7B0D" w:rsidRPr="000F7B0D" w:rsidRDefault="000F7B0D" w:rsidP="000F7B0D">
      <w:pPr>
        <w:numPr>
          <w:ilvl w:val="0"/>
          <w:numId w:val="21"/>
        </w:numPr>
        <w:autoSpaceDE w:val="0"/>
        <w:autoSpaceDN w:val="0"/>
        <w:adjustRightInd w:val="0"/>
        <w:rPr>
          <w:rFonts w:ascii="NobelCE Lt" w:hAnsi="NobelCE Lt"/>
          <w:b/>
        </w:rPr>
      </w:pPr>
      <w:r w:rsidRPr="000F7B0D">
        <w:rPr>
          <w:rFonts w:ascii="NobelCE Lt" w:hAnsi="NobelCE Lt"/>
          <w:b/>
        </w:rPr>
        <w:t>Revoluční konstrukce pružné sítě přehodnocuje principy optimálního sezení při cestování automobilem</w:t>
      </w:r>
    </w:p>
    <w:p w14:paraId="72AF5FBA" w14:textId="50719AD7" w:rsidR="000F7B0D" w:rsidRPr="000F7B0D" w:rsidRDefault="006C7145" w:rsidP="000F7B0D">
      <w:pPr>
        <w:numPr>
          <w:ilvl w:val="0"/>
          <w:numId w:val="21"/>
        </w:numPr>
        <w:autoSpaceDE w:val="0"/>
        <w:autoSpaceDN w:val="0"/>
        <w:adjustRightInd w:val="0"/>
        <w:rPr>
          <w:rFonts w:ascii="NobelCE Lt" w:hAnsi="NobelCE Lt"/>
          <w:b/>
        </w:rPr>
      </w:pPr>
      <w:r>
        <w:rPr>
          <w:rFonts w:ascii="NobelCE Lt" w:hAnsi="NobelCE Lt"/>
          <w:b/>
        </w:rPr>
        <w:t>Rotační</w:t>
      </w:r>
      <w:r w:rsidR="000F7B0D" w:rsidRPr="000F7B0D">
        <w:rPr>
          <w:rFonts w:ascii="NobelCE Lt" w:hAnsi="NobelCE Lt"/>
          <w:b/>
        </w:rPr>
        <w:t xml:space="preserve"> pohyb sedáku i opěradla simuluje základní pohyby páteře člověka, a napomáhá tak ke stabilizaci hlavy</w:t>
      </w:r>
    </w:p>
    <w:p w14:paraId="4CF85C07" w14:textId="52B07231" w:rsidR="000F7B0D" w:rsidRPr="000F7B0D" w:rsidRDefault="000F7B0D" w:rsidP="000F7B0D">
      <w:pPr>
        <w:numPr>
          <w:ilvl w:val="0"/>
          <w:numId w:val="21"/>
        </w:numPr>
        <w:autoSpaceDE w:val="0"/>
        <w:autoSpaceDN w:val="0"/>
        <w:adjustRightInd w:val="0"/>
        <w:rPr>
          <w:rFonts w:ascii="NobelCE Lt" w:hAnsi="NobelCE Lt"/>
          <w:b/>
        </w:rPr>
      </w:pPr>
      <w:r w:rsidRPr="000F7B0D">
        <w:rPr>
          <w:rFonts w:ascii="NobelCE Lt" w:hAnsi="NobelCE Lt"/>
          <w:b/>
        </w:rPr>
        <w:t xml:space="preserve">Pružná polygonální síť se dokonale přizpůsobuje tvaru </w:t>
      </w:r>
      <w:r w:rsidR="00391341">
        <w:rPr>
          <w:rFonts w:ascii="NobelCE Lt" w:hAnsi="NobelCE Lt"/>
          <w:b/>
        </w:rPr>
        <w:t xml:space="preserve">postavy </w:t>
      </w:r>
      <w:r w:rsidRPr="000F7B0D">
        <w:rPr>
          <w:rFonts w:ascii="NobelCE Lt" w:hAnsi="NobelCE Lt"/>
          <w:b/>
        </w:rPr>
        <w:t xml:space="preserve">a rozkládá zátěž s ohledem na pohodlí </w:t>
      </w:r>
      <w:r w:rsidR="00391341">
        <w:rPr>
          <w:rFonts w:ascii="NobelCE Lt" w:hAnsi="NobelCE Lt"/>
          <w:b/>
        </w:rPr>
        <w:t xml:space="preserve">a dostatečnou oporu těla </w:t>
      </w:r>
      <w:r w:rsidR="00CD05B1">
        <w:rPr>
          <w:rFonts w:ascii="NobelCE Lt" w:hAnsi="NobelCE Lt"/>
          <w:b/>
        </w:rPr>
        <w:t xml:space="preserve">i </w:t>
      </w:r>
      <w:r w:rsidRPr="000F7B0D">
        <w:rPr>
          <w:rFonts w:ascii="NobelCE Lt" w:hAnsi="NobelCE Lt"/>
          <w:b/>
        </w:rPr>
        <w:t>při dlouhodobém sezení</w:t>
      </w:r>
    </w:p>
    <w:p w14:paraId="6EEF6350" w14:textId="7B55DB01" w:rsidR="000F7B0D" w:rsidRPr="000F7B0D" w:rsidRDefault="006C7145" w:rsidP="000F7B0D">
      <w:pPr>
        <w:numPr>
          <w:ilvl w:val="0"/>
          <w:numId w:val="21"/>
        </w:numPr>
        <w:autoSpaceDE w:val="0"/>
        <w:autoSpaceDN w:val="0"/>
        <w:adjustRightInd w:val="0"/>
        <w:rPr>
          <w:rFonts w:ascii="NobelCE Lt" w:hAnsi="NobelCE Lt"/>
          <w:b/>
        </w:rPr>
      </w:pPr>
      <w:r>
        <w:rPr>
          <w:rFonts w:ascii="NobelCE Lt" w:hAnsi="NobelCE Lt"/>
          <w:b/>
        </w:rPr>
        <w:t>V</w:t>
      </w:r>
      <w:r w:rsidR="000F7B0D" w:rsidRPr="000F7B0D">
        <w:rPr>
          <w:rFonts w:ascii="NobelCE Lt" w:hAnsi="NobelCE Lt"/>
          <w:b/>
        </w:rPr>
        <w:t>lákn</w:t>
      </w:r>
      <w:r w:rsidR="00391341">
        <w:rPr>
          <w:rFonts w:ascii="NobelCE Lt" w:hAnsi="NobelCE Lt"/>
          <w:b/>
        </w:rPr>
        <w:t>a opěradel</w:t>
      </w:r>
      <w:r w:rsidR="000F7B0D" w:rsidRPr="000F7B0D">
        <w:rPr>
          <w:rFonts w:ascii="NobelCE Lt" w:hAnsi="NobelCE Lt"/>
          <w:b/>
        </w:rPr>
        <w:t xml:space="preserve"> j</w:t>
      </w:r>
      <w:r w:rsidR="00391341">
        <w:rPr>
          <w:rFonts w:ascii="NobelCE Lt" w:hAnsi="NobelCE Lt"/>
          <w:b/>
        </w:rPr>
        <w:t>sou</w:t>
      </w:r>
      <w:r w:rsidR="000F7B0D" w:rsidRPr="000F7B0D">
        <w:rPr>
          <w:rFonts w:ascii="NobelCE Lt" w:hAnsi="NobelCE Lt"/>
          <w:b/>
        </w:rPr>
        <w:t xml:space="preserve"> vyroben</w:t>
      </w:r>
      <w:r w:rsidR="00391341">
        <w:rPr>
          <w:rFonts w:ascii="NobelCE Lt" w:hAnsi="NobelCE Lt"/>
          <w:b/>
        </w:rPr>
        <w:t>a</w:t>
      </w:r>
      <w:r w:rsidR="000F7B0D" w:rsidRPr="000F7B0D">
        <w:rPr>
          <w:rFonts w:ascii="NobelCE Lt" w:hAnsi="NobelCE Lt"/>
          <w:b/>
        </w:rPr>
        <w:t xml:space="preserve"> z ekologicky šetrného materiálu</w:t>
      </w:r>
      <w:r w:rsidR="00CD05B1">
        <w:rPr>
          <w:rStyle w:val="Znakapoznpodarou"/>
          <w:rFonts w:ascii="NobelCE Lt" w:hAnsi="NobelCE Lt"/>
          <w:b/>
        </w:rPr>
        <w:footnoteReference w:id="1"/>
      </w:r>
      <w:r w:rsidR="000F7B0D" w:rsidRPr="000F7B0D">
        <w:rPr>
          <w:rFonts w:ascii="NobelCE Lt" w:hAnsi="NobelCE Lt"/>
          <w:b/>
        </w:rPr>
        <w:t xml:space="preserve"> (syntetick</w:t>
      </w:r>
      <w:r>
        <w:rPr>
          <w:rFonts w:ascii="NobelCE Lt" w:hAnsi="NobelCE Lt"/>
          <w:b/>
        </w:rPr>
        <w:t>é</w:t>
      </w:r>
      <w:r w:rsidR="000F7B0D" w:rsidRPr="000F7B0D">
        <w:rPr>
          <w:rFonts w:ascii="NobelCE Lt" w:hAnsi="NobelCE Lt"/>
          <w:b/>
        </w:rPr>
        <w:t xml:space="preserve"> pavoučí hedvábí) </w:t>
      </w:r>
    </w:p>
    <w:p w14:paraId="615B356A" w14:textId="77777777" w:rsidR="000F7B0D" w:rsidRPr="000F7B0D" w:rsidRDefault="000F7B0D" w:rsidP="000F7B0D">
      <w:pPr>
        <w:autoSpaceDE w:val="0"/>
        <w:autoSpaceDN w:val="0"/>
        <w:rPr>
          <w:rFonts w:ascii="NobelCE Lt" w:hAnsi="NobelCE Lt"/>
        </w:rPr>
      </w:pPr>
    </w:p>
    <w:p w14:paraId="031CFFF9" w14:textId="77777777" w:rsidR="000F7B0D" w:rsidRPr="00CD05B1" w:rsidRDefault="000F7B0D" w:rsidP="000F7B0D">
      <w:pPr>
        <w:rPr>
          <w:rFonts w:ascii="NobelCE Lt" w:hAnsi="NobelCE Lt"/>
          <w:b/>
        </w:rPr>
      </w:pPr>
      <w:r w:rsidRPr="00CD05B1">
        <w:rPr>
          <w:rFonts w:ascii="NobelCE Lt" w:hAnsi="NobelCE Lt"/>
          <w:b/>
        </w:rPr>
        <w:t>P</w:t>
      </w:r>
      <w:r w:rsidR="00CD05B1">
        <w:rPr>
          <w:rFonts w:ascii="NobelCE Lt" w:hAnsi="NobelCE Lt"/>
          <w:b/>
        </w:rPr>
        <w:t xml:space="preserve">ohyblivý sedák i opěradlo </w:t>
      </w:r>
    </w:p>
    <w:p w14:paraId="460F6844" w14:textId="77777777" w:rsidR="00391341" w:rsidRDefault="000F7B0D" w:rsidP="000F7B0D">
      <w:pPr>
        <w:rPr>
          <w:rFonts w:ascii="NobelCE Lt" w:hAnsi="NobelCE Lt"/>
        </w:rPr>
      </w:pPr>
      <w:r w:rsidRPr="000F7B0D">
        <w:rPr>
          <w:rFonts w:ascii="NobelCE Lt" w:hAnsi="NobelCE Lt"/>
        </w:rPr>
        <w:t xml:space="preserve">Lidská páteř svým pohybem stabilizuje hlavu. Umožňuje otáčení pánve a hrudníku v opačném směru, a stabilizuje tak pohyb hlavy i během chůze nebo běhu. </w:t>
      </w:r>
    </w:p>
    <w:p w14:paraId="003B5712" w14:textId="77777777" w:rsidR="00391341" w:rsidRDefault="00391341" w:rsidP="000F7B0D">
      <w:pPr>
        <w:rPr>
          <w:rFonts w:ascii="NobelCE Lt" w:hAnsi="NobelCE Lt"/>
        </w:rPr>
      </w:pPr>
    </w:p>
    <w:p w14:paraId="0A94AC7B" w14:textId="6FDC1609" w:rsidR="000F7B0D" w:rsidRPr="000F7B0D" w:rsidRDefault="000F7B0D" w:rsidP="000F7B0D">
      <w:pPr>
        <w:rPr>
          <w:rFonts w:ascii="NobelCE Lt" w:hAnsi="NobelCE Lt"/>
        </w:rPr>
      </w:pPr>
      <w:r w:rsidRPr="000F7B0D">
        <w:rPr>
          <w:rFonts w:ascii="NobelCE Lt" w:hAnsi="NobelCE Lt"/>
        </w:rPr>
        <w:t>Ve snaze simulovat tento pohyb u sedadel automobilu</w:t>
      </w:r>
      <w:r w:rsidR="00B536C3">
        <w:rPr>
          <w:rFonts w:ascii="NobelCE Lt" w:hAnsi="NobelCE Lt"/>
        </w:rPr>
        <w:t xml:space="preserve"> se </w:t>
      </w:r>
      <w:r w:rsidR="00391341">
        <w:rPr>
          <w:rFonts w:ascii="NobelCE Lt" w:hAnsi="NobelCE Lt"/>
        </w:rPr>
        <w:t xml:space="preserve">sedák </w:t>
      </w:r>
      <w:r w:rsidR="00B536C3">
        <w:rPr>
          <w:rFonts w:ascii="NobelCE Lt" w:hAnsi="NobelCE Lt"/>
        </w:rPr>
        <w:t xml:space="preserve">společně s </w:t>
      </w:r>
      <w:r w:rsidR="00391341">
        <w:rPr>
          <w:rFonts w:ascii="NobelCE Lt" w:hAnsi="NobelCE Lt"/>
        </w:rPr>
        <w:t>opěradl</w:t>
      </w:r>
      <w:r w:rsidR="00B536C3">
        <w:rPr>
          <w:rFonts w:ascii="NobelCE Lt" w:hAnsi="NobelCE Lt"/>
        </w:rPr>
        <w:t>em</w:t>
      </w:r>
      <w:r w:rsidR="00391341">
        <w:rPr>
          <w:rFonts w:ascii="NobelCE Lt" w:hAnsi="NobelCE Lt"/>
        </w:rPr>
        <w:t xml:space="preserve"> pohybují kinetickou silou v důsledku působení váhy pasažéra a vnějších sil.</w:t>
      </w:r>
      <w:r w:rsidRPr="000F7B0D">
        <w:rPr>
          <w:rFonts w:ascii="NobelCE Lt" w:hAnsi="NobelCE Lt"/>
        </w:rPr>
        <w:t xml:space="preserve"> Při sezení konstrukce jednoduše </w:t>
      </w:r>
      <w:r w:rsidR="00391341">
        <w:rPr>
          <w:rFonts w:ascii="NobelCE Lt" w:hAnsi="NobelCE Lt"/>
        </w:rPr>
        <w:t xml:space="preserve">pomáhá </w:t>
      </w:r>
      <w:r w:rsidRPr="000F7B0D">
        <w:rPr>
          <w:rFonts w:ascii="NobelCE Lt" w:hAnsi="NobelCE Lt"/>
        </w:rPr>
        <w:t>stabiliz</w:t>
      </w:r>
      <w:r w:rsidR="00391341">
        <w:rPr>
          <w:rFonts w:ascii="NobelCE Lt" w:hAnsi="NobelCE Lt"/>
        </w:rPr>
        <w:t xml:space="preserve">ovat </w:t>
      </w:r>
      <w:r w:rsidRPr="000F7B0D">
        <w:rPr>
          <w:rFonts w:ascii="NobelCE Lt" w:hAnsi="NobelCE Lt"/>
        </w:rPr>
        <w:t>pohyb</w:t>
      </w:r>
      <w:r w:rsidR="00B536C3">
        <w:rPr>
          <w:rFonts w:ascii="NobelCE Lt" w:hAnsi="NobelCE Lt"/>
        </w:rPr>
        <w:t>y</w:t>
      </w:r>
      <w:r w:rsidRPr="000F7B0D">
        <w:rPr>
          <w:rFonts w:ascii="NobelCE Lt" w:hAnsi="NobelCE Lt"/>
        </w:rPr>
        <w:t xml:space="preserve"> hlavy </w:t>
      </w:r>
      <w:r w:rsidR="006C7145">
        <w:rPr>
          <w:rFonts w:ascii="NobelCE Lt" w:hAnsi="NobelCE Lt"/>
        </w:rPr>
        <w:t>způsobené</w:t>
      </w:r>
      <w:r w:rsidRPr="000F7B0D">
        <w:rPr>
          <w:rFonts w:ascii="NobelCE Lt" w:hAnsi="NobelCE Lt"/>
        </w:rPr>
        <w:t xml:space="preserve"> pohyb</w:t>
      </w:r>
      <w:r w:rsidR="006C7145">
        <w:rPr>
          <w:rFonts w:ascii="NobelCE Lt" w:hAnsi="NobelCE Lt"/>
        </w:rPr>
        <w:t>y</w:t>
      </w:r>
      <w:r w:rsidRPr="000F7B0D">
        <w:rPr>
          <w:rFonts w:ascii="NobelCE Lt" w:hAnsi="NobelCE Lt"/>
        </w:rPr>
        <w:t xml:space="preserve"> vozidla, což se odráží v neměnnosti zorného pole řidiče. Zatížení cestujících se tímto snižuje a současně je usnadněno řízení a zvyšuje se pohodlí. </w:t>
      </w:r>
    </w:p>
    <w:p w14:paraId="04A9A6EF" w14:textId="77777777" w:rsidR="000F7B0D" w:rsidRPr="000F7B0D" w:rsidRDefault="000F7B0D" w:rsidP="000F7B0D">
      <w:pPr>
        <w:rPr>
          <w:rFonts w:ascii="NobelCE Lt" w:hAnsi="NobelCE Lt"/>
        </w:rPr>
      </w:pPr>
    </w:p>
    <w:p w14:paraId="7B75C46D" w14:textId="77777777" w:rsidR="000F7B0D" w:rsidRPr="006E073F" w:rsidRDefault="000F7B0D" w:rsidP="000F7B0D">
      <w:pPr>
        <w:rPr>
          <w:rFonts w:ascii="NobelCE Lt" w:hAnsi="NobelCE Lt"/>
          <w:b/>
        </w:rPr>
      </w:pPr>
      <w:r w:rsidRPr="006E073F">
        <w:rPr>
          <w:rFonts w:ascii="NobelCE Lt" w:hAnsi="NobelCE Lt"/>
          <w:b/>
        </w:rPr>
        <w:t>S</w:t>
      </w:r>
      <w:r w:rsidR="006E073F">
        <w:rPr>
          <w:rFonts w:ascii="NobelCE Lt" w:hAnsi="NobelCE Lt"/>
          <w:b/>
        </w:rPr>
        <w:t>edadla z pružné polygonální sítě</w:t>
      </w:r>
    </w:p>
    <w:p w14:paraId="6FFD8195" w14:textId="4851E8D4" w:rsidR="000F7B0D" w:rsidRPr="000F7B0D" w:rsidRDefault="000F7B0D" w:rsidP="000F7B0D">
      <w:pPr>
        <w:rPr>
          <w:rFonts w:ascii="NobelCE Lt" w:hAnsi="NobelCE Lt"/>
        </w:rPr>
      </w:pPr>
      <w:r w:rsidRPr="000F7B0D">
        <w:rPr>
          <w:rFonts w:ascii="NobelCE Lt" w:hAnsi="NobelCE Lt"/>
        </w:rPr>
        <w:t>Čalounění rámu sedadel se</w:t>
      </w:r>
      <w:r w:rsidR="006E073F">
        <w:rPr>
          <w:rFonts w:ascii="NobelCE Lt" w:hAnsi="NobelCE Lt"/>
        </w:rPr>
        <w:t xml:space="preserve"> skládá</w:t>
      </w:r>
      <w:r w:rsidRPr="000F7B0D">
        <w:rPr>
          <w:rFonts w:ascii="NobelCE Lt" w:hAnsi="NobelCE Lt"/>
        </w:rPr>
        <w:t xml:space="preserve"> z pružné polygonální sítě tvořené vlákny, která jsou natažena v radiálním směru od středu opěradla. Síť je dostatečně pružná k tomu, aby se dokonale přizpůsobila tvaru lidského těla</w:t>
      </w:r>
      <w:r w:rsidR="006E073F">
        <w:rPr>
          <w:rFonts w:ascii="NobelCE Lt" w:hAnsi="NobelCE Lt"/>
        </w:rPr>
        <w:t>. Z</w:t>
      </w:r>
      <w:r w:rsidRPr="000F7B0D">
        <w:rPr>
          <w:rFonts w:ascii="NobelCE Lt" w:hAnsi="NobelCE Lt"/>
        </w:rPr>
        <w:t xml:space="preserve">ároveň </w:t>
      </w:r>
      <w:r w:rsidR="006E073F">
        <w:rPr>
          <w:rFonts w:ascii="NobelCE Lt" w:hAnsi="NobelCE Lt"/>
        </w:rPr>
        <w:t xml:space="preserve">však </w:t>
      </w:r>
      <w:r w:rsidRPr="000F7B0D">
        <w:rPr>
          <w:rFonts w:ascii="NobelCE Lt" w:hAnsi="NobelCE Lt"/>
        </w:rPr>
        <w:t xml:space="preserve">dobře rozkládá zatížení s ohledem na pohodlné sezení po delší dobu. </w:t>
      </w:r>
    </w:p>
    <w:p w14:paraId="6B613154" w14:textId="0228C471" w:rsidR="000F7B0D" w:rsidRPr="000F7B0D" w:rsidRDefault="000F7B0D" w:rsidP="000F7B0D">
      <w:pPr>
        <w:rPr>
          <w:rFonts w:ascii="NobelCE Lt" w:hAnsi="NobelCE Lt"/>
        </w:rPr>
      </w:pPr>
      <w:r w:rsidRPr="000F7B0D">
        <w:rPr>
          <w:rFonts w:ascii="NobelCE Lt" w:hAnsi="NobelCE Lt"/>
        </w:rPr>
        <w:t xml:space="preserve">Střed opěradla je ve výši lopatek, což navozuje rotační pohyb hrudníku kolem osy otáčení sedadla. Tímto způsobem </w:t>
      </w:r>
      <w:r w:rsidR="00391341">
        <w:rPr>
          <w:rFonts w:ascii="NobelCE Lt" w:hAnsi="NobelCE Lt"/>
        </w:rPr>
        <w:t xml:space="preserve">se napomáhá </w:t>
      </w:r>
      <w:r w:rsidRPr="000F7B0D">
        <w:rPr>
          <w:rFonts w:ascii="NobelCE Lt" w:hAnsi="NobelCE Lt"/>
        </w:rPr>
        <w:t>stabilizac</w:t>
      </w:r>
      <w:r w:rsidR="00391341">
        <w:rPr>
          <w:rFonts w:ascii="NobelCE Lt" w:hAnsi="NobelCE Lt"/>
        </w:rPr>
        <w:t>i</w:t>
      </w:r>
      <w:r w:rsidRPr="000F7B0D">
        <w:rPr>
          <w:rFonts w:ascii="NobelCE Lt" w:hAnsi="NobelCE Lt"/>
        </w:rPr>
        <w:t xml:space="preserve"> hlavy s vysokou mírou podpory. Sedadla jsou kromě toho štíhlejší a přispívají k nižší hmotnosti celého vozu. </w:t>
      </w:r>
    </w:p>
    <w:p w14:paraId="0AAE5BA1" w14:textId="77777777" w:rsidR="000F7B0D" w:rsidRPr="000F7B0D" w:rsidRDefault="000F7B0D" w:rsidP="000F7B0D">
      <w:pPr>
        <w:rPr>
          <w:rFonts w:ascii="NobelCE Lt" w:hAnsi="NobelCE Lt"/>
        </w:rPr>
      </w:pPr>
    </w:p>
    <w:p w14:paraId="5DFDE98E" w14:textId="77777777" w:rsidR="000F7B0D" w:rsidRPr="006E073F" w:rsidRDefault="000F7B0D" w:rsidP="000F7B0D">
      <w:pPr>
        <w:rPr>
          <w:rFonts w:ascii="NobelCE Lt" w:hAnsi="NobelCE Lt"/>
          <w:b/>
        </w:rPr>
      </w:pPr>
      <w:r w:rsidRPr="006E073F">
        <w:rPr>
          <w:rFonts w:ascii="NobelCE Lt" w:hAnsi="NobelCE Lt"/>
          <w:b/>
        </w:rPr>
        <w:t>V</w:t>
      </w:r>
      <w:r w:rsidR="006E073F">
        <w:rPr>
          <w:rFonts w:ascii="NobelCE Lt" w:hAnsi="NobelCE Lt"/>
          <w:b/>
        </w:rPr>
        <w:t>yrobeno z proteinu</w:t>
      </w:r>
    </w:p>
    <w:p w14:paraId="70F5E405" w14:textId="4449D3A9" w:rsidR="000F7B0D" w:rsidRPr="000F7B0D" w:rsidRDefault="006C7145" w:rsidP="000F7B0D">
      <w:pPr>
        <w:rPr>
          <w:rFonts w:ascii="NobelCE Lt" w:hAnsi="NobelCE Lt"/>
        </w:rPr>
      </w:pPr>
      <w:r>
        <w:rPr>
          <w:rFonts w:ascii="NobelCE Lt" w:hAnsi="NobelCE Lt"/>
        </w:rPr>
        <w:t>V</w:t>
      </w:r>
      <w:r w:rsidR="000F7B0D" w:rsidRPr="000F7B0D">
        <w:rPr>
          <w:rFonts w:ascii="NobelCE Lt" w:hAnsi="NobelCE Lt"/>
        </w:rPr>
        <w:t>lákn</w:t>
      </w:r>
      <w:r w:rsidR="002F7B1F">
        <w:rPr>
          <w:rFonts w:ascii="NobelCE Lt" w:hAnsi="NobelCE Lt"/>
        </w:rPr>
        <w:t>a</w:t>
      </w:r>
      <w:r w:rsidR="000F7B0D" w:rsidRPr="000F7B0D">
        <w:rPr>
          <w:rFonts w:ascii="NobelCE Lt" w:hAnsi="NobelCE Lt"/>
        </w:rPr>
        <w:t xml:space="preserve"> polygonální sítě </w:t>
      </w:r>
      <w:r w:rsidR="002F7B1F">
        <w:rPr>
          <w:rFonts w:ascii="NobelCE Lt" w:hAnsi="NobelCE Lt"/>
        </w:rPr>
        <w:t xml:space="preserve">u opěradel jsou </w:t>
      </w:r>
      <w:r w:rsidR="000F7B0D" w:rsidRPr="000F7B0D">
        <w:rPr>
          <w:rFonts w:ascii="NobelCE Lt" w:hAnsi="NobelCE Lt"/>
        </w:rPr>
        <w:t>vyroben</w:t>
      </w:r>
      <w:r w:rsidR="002F7B1F">
        <w:rPr>
          <w:rFonts w:ascii="NobelCE Lt" w:hAnsi="NobelCE Lt"/>
        </w:rPr>
        <w:t>a</w:t>
      </w:r>
      <w:r w:rsidR="000F7B0D" w:rsidRPr="000F7B0D">
        <w:rPr>
          <w:rFonts w:ascii="NobelCE Lt" w:hAnsi="NobelCE Lt"/>
        </w:rPr>
        <w:t xml:space="preserve"> z ekologicky šetrného materiálu</w:t>
      </w:r>
      <w:r w:rsidR="006E073F">
        <w:rPr>
          <w:rFonts w:ascii="NobelCE Lt" w:hAnsi="NobelCE Lt"/>
          <w:vertAlign w:val="superscript"/>
        </w:rPr>
        <w:t>1</w:t>
      </w:r>
      <w:r w:rsidR="000F7B0D" w:rsidRPr="000F7B0D">
        <w:rPr>
          <w:rFonts w:ascii="NobelCE Lt" w:hAnsi="NobelCE Lt"/>
        </w:rPr>
        <w:t xml:space="preserve"> (syntetick</w:t>
      </w:r>
      <w:r>
        <w:rPr>
          <w:rFonts w:ascii="NobelCE Lt" w:hAnsi="NobelCE Lt"/>
        </w:rPr>
        <w:t>ého</w:t>
      </w:r>
      <w:r w:rsidR="002F7B1F">
        <w:rPr>
          <w:rFonts w:ascii="NobelCE Lt" w:hAnsi="NobelCE Lt"/>
        </w:rPr>
        <w:t xml:space="preserve"> pavoučího hedvábí</w:t>
      </w:r>
      <w:r w:rsidR="000F7B0D" w:rsidRPr="000F7B0D">
        <w:rPr>
          <w:rFonts w:ascii="NobelCE Lt" w:hAnsi="NobelCE Lt"/>
        </w:rPr>
        <w:t>) namísto materiálů na ropné bázi. Hlavní</w:t>
      </w:r>
      <w:r w:rsidR="006E073F">
        <w:rPr>
          <w:rFonts w:ascii="NobelCE Lt" w:hAnsi="NobelCE Lt"/>
        </w:rPr>
        <w:t>m komponentem</w:t>
      </w:r>
      <w:r w:rsidR="000F7B0D" w:rsidRPr="000F7B0D">
        <w:rPr>
          <w:rFonts w:ascii="NobelCE Lt" w:hAnsi="NobelCE Lt"/>
        </w:rPr>
        <w:t xml:space="preserve"> toh</w:t>
      </w:r>
      <w:r w:rsidR="006E073F">
        <w:rPr>
          <w:rFonts w:ascii="NobelCE Lt" w:hAnsi="NobelCE Lt"/>
        </w:rPr>
        <w:t xml:space="preserve">oto </w:t>
      </w:r>
      <w:r w:rsidR="002F7B1F">
        <w:rPr>
          <w:rFonts w:ascii="NobelCE Lt" w:hAnsi="NobelCE Lt"/>
        </w:rPr>
        <w:t xml:space="preserve">materiálu je </w:t>
      </w:r>
      <w:r w:rsidR="006E073F">
        <w:rPr>
          <w:rFonts w:ascii="NobelCE Lt" w:hAnsi="NobelCE Lt"/>
        </w:rPr>
        <w:t>protein</w:t>
      </w:r>
      <w:r w:rsidR="002F7B1F">
        <w:rPr>
          <w:rFonts w:ascii="NobelCE Lt" w:hAnsi="NobelCE Lt"/>
        </w:rPr>
        <w:t xml:space="preserve">, který se </w:t>
      </w:r>
      <w:r w:rsidR="000F7B0D" w:rsidRPr="000F7B0D">
        <w:rPr>
          <w:rFonts w:ascii="NobelCE Lt" w:hAnsi="NobelCE Lt"/>
        </w:rPr>
        <w:t xml:space="preserve">vytváří pomocí mikrobiální fermentace, poté se spřádá a zpracovává do podoby nového materiálu, </w:t>
      </w:r>
      <w:r w:rsidR="00B536C3">
        <w:rPr>
          <w:rFonts w:ascii="NobelCE Lt" w:hAnsi="NobelCE Lt"/>
        </w:rPr>
        <w:t xml:space="preserve">jež </w:t>
      </w:r>
      <w:r w:rsidR="000F7B0D" w:rsidRPr="000F7B0D">
        <w:rPr>
          <w:rFonts w:ascii="NobelCE Lt" w:hAnsi="NobelCE Lt"/>
        </w:rPr>
        <w:t xml:space="preserve">se vyznačuje mimořádnou </w:t>
      </w:r>
      <w:r w:rsidR="002F7B1F">
        <w:rPr>
          <w:rFonts w:ascii="NobelCE Lt" w:hAnsi="NobelCE Lt"/>
        </w:rPr>
        <w:t>pevností a schopností pohlcovat rázy</w:t>
      </w:r>
      <w:r w:rsidR="000F7B0D" w:rsidRPr="000F7B0D">
        <w:rPr>
          <w:rFonts w:ascii="NobelCE Lt" w:hAnsi="NobelCE Lt"/>
        </w:rPr>
        <w:t xml:space="preserve">. </w:t>
      </w:r>
    </w:p>
    <w:p w14:paraId="24398230" w14:textId="77777777" w:rsidR="000F7B0D" w:rsidRPr="000F7B0D" w:rsidRDefault="000F7B0D" w:rsidP="000F7B0D">
      <w:pPr>
        <w:rPr>
          <w:rFonts w:ascii="NobelCE Lt" w:hAnsi="NobelCE Lt"/>
        </w:rPr>
      </w:pPr>
    </w:p>
    <w:p w14:paraId="4D443458" w14:textId="77777777" w:rsidR="001056BA" w:rsidRPr="000F7B0D" w:rsidRDefault="001056BA" w:rsidP="001056BA">
      <w:pPr>
        <w:rPr>
          <w:rFonts w:ascii="NobelCE Lt" w:hAnsi="NobelCE Lt"/>
        </w:rPr>
      </w:pPr>
    </w:p>
    <w:p w14:paraId="4C98E3B1" w14:textId="77777777" w:rsidR="001056BA" w:rsidRDefault="001056BA" w:rsidP="001056BA">
      <w:pPr>
        <w:rPr>
          <w:rFonts w:ascii="NobelCE Lt" w:hAnsi="NobelCE Lt"/>
        </w:rPr>
      </w:pPr>
    </w:p>
    <w:p w14:paraId="2063E155" w14:textId="77777777" w:rsidR="006E073F" w:rsidRDefault="006E073F" w:rsidP="001056BA">
      <w:pPr>
        <w:rPr>
          <w:rFonts w:ascii="NobelCE Lt" w:hAnsi="NobelCE Lt"/>
        </w:rPr>
      </w:pPr>
    </w:p>
    <w:p w14:paraId="32C8402A" w14:textId="77777777" w:rsidR="006E073F" w:rsidRDefault="006E073F" w:rsidP="001056BA">
      <w:pPr>
        <w:rPr>
          <w:rFonts w:ascii="NobelCE Lt" w:hAnsi="NobelCE Lt"/>
        </w:rPr>
      </w:pPr>
    </w:p>
    <w:p w14:paraId="47524D45" w14:textId="77777777" w:rsidR="006E073F" w:rsidRDefault="006E073F" w:rsidP="001056BA">
      <w:pPr>
        <w:rPr>
          <w:rFonts w:ascii="NobelCE Lt" w:hAnsi="NobelCE Lt"/>
        </w:rPr>
      </w:pPr>
    </w:p>
    <w:p w14:paraId="3B6B2AE1" w14:textId="77777777" w:rsidR="006E073F" w:rsidRDefault="006E073F" w:rsidP="001056BA">
      <w:pPr>
        <w:rPr>
          <w:rFonts w:ascii="NobelCE Lt" w:hAnsi="NobelCE Lt"/>
        </w:rPr>
      </w:pPr>
    </w:p>
    <w:p w14:paraId="1958D946" w14:textId="77777777" w:rsidR="006E073F" w:rsidRDefault="006E073F" w:rsidP="001056BA">
      <w:pPr>
        <w:rPr>
          <w:rFonts w:ascii="NobelCE Lt" w:hAnsi="NobelCE Lt"/>
        </w:rPr>
      </w:pPr>
    </w:p>
    <w:p w14:paraId="00941C9D" w14:textId="77777777" w:rsidR="006E073F" w:rsidRDefault="006E073F" w:rsidP="001056BA">
      <w:pPr>
        <w:rPr>
          <w:rFonts w:ascii="NobelCE Lt" w:hAnsi="NobelCE Lt"/>
        </w:rPr>
      </w:pPr>
    </w:p>
    <w:p w14:paraId="4D1A5FC4" w14:textId="77777777" w:rsidR="006E073F" w:rsidRDefault="006E073F" w:rsidP="001056BA">
      <w:pPr>
        <w:rPr>
          <w:rFonts w:ascii="NobelCE Lt" w:hAnsi="NobelCE Lt"/>
        </w:rPr>
      </w:pPr>
    </w:p>
    <w:p w14:paraId="07D8CCE8" w14:textId="77777777" w:rsidR="006E073F" w:rsidRDefault="006E073F" w:rsidP="001056BA">
      <w:pPr>
        <w:rPr>
          <w:rFonts w:ascii="NobelCE Lt" w:hAnsi="NobelCE Lt"/>
        </w:rPr>
      </w:pPr>
    </w:p>
    <w:p w14:paraId="23399209" w14:textId="77777777" w:rsidR="006E073F" w:rsidRDefault="006E073F" w:rsidP="001056BA">
      <w:pPr>
        <w:rPr>
          <w:rFonts w:ascii="NobelCE Lt" w:hAnsi="NobelCE Lt"/>
        </w:rPr>
      </w:pPr>
    </w:p>
    <w:p w14:paraId="72A42E1F" w14:textId="77777777" w:rsidR="006E073F" w:rsidRDefault="006E073F" w:rsidP="001056BA">
      <w:pPr>
        <w:rPr>
          <w:rFonts w:ascii="NobelCE Lt" w:hAnsi="NobelCE Lt"/>
        </w:rPr>
      </w:pPr>
    </w:p>
    <w:p w14:paraId="1F8A46B6" w14:textId="77777777" w:rsidR="006E073F" w:rsidRDefault="006E073F" w:rsidP="001056BA">
      <w:pPr>
        <w:rPr>
          <w:rFonts w:ascii="NobelCE Lt" w:hAnsi="NobelCE Lt"/>
        </w:rPr>
      </w:pPr>
    </w:p>
    <w:p w14:paraId="16C779E1" w14:textId="77777777" w:rsidR="006E073F" w:rsidRPr="006E073F" w:rsidRDefault="006E073F" w:rsidP="006E073F">
      <w:pPr>
        <w:jc w:val="center"/>
        <w:rPr>
          <w:rFonts w:ascii="NobelCE Lt" w:hAnsi="NobelCE Lt"/>
          <w:b/>
          <w:color w:val="000000"/>
          <w:sz w:val="40"/>
        </w:rPr>
      </w:pPr>
      <w:r w:rsidRPr="006E073F">
        <w:rPr>
          <w:rFonts w:ascii="NobelCE Lt" w:hAnsi="NobelCE Lt"/>
          <w:b/>
          <w:color w:val="000000"/>
          <w:sz w:val="40"/>
        </w:rPr>
        <w:t xml:space="preserve">EVROPSKÁ PREMIÉRA NOVÉHO MODELU LEXUS IS </w:t>
      </w:r>
    </w:p>
    <w:p w14:paraId="7D9B6455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4D65088A" w14:textId="60DFB1B7" w:rsidR="006E073F" w:rsidRPr="006E073F" w:rsidRDefault="004D402D" w:rsidP="006E073F">
      <w:pPr>
        <w:numPr>
          <w:ilvl w:val="0"/>
          <w:numId w:val="22"/>
        </w:numPr>
        <w:rPr>
          <w:rFonts w:ascii="NobelCE Lt" w:hAnsi="NobelCE Lt"/>
          <w:b/>
          <w:color w:val="000000"/>
        </w:rPr>
      </w:pPr>
      <w:r w:rsidRPr="006E073F">
        <w:rPr>
          <w:rFonts w:ascii="NobelCE Lt" w:hAnsi="NobelCE Lt"/>
          <w:b/>
          <w:color w:val="000000"/>
        </w:rPr>
        <w:t xml:space="preserve">Lexus IS </w:t>
      </w:r>
      <w:r>
        <w:rPr>
          <w:rFonts w:ascii="NobelCE Lt" w:hAnsi="NobelCE Lt"/>
          <w:b/>
          <w:color w:val="000000"/>
        </w:rPr>
        <w:t>slaví m</w:t>
      </w:r>
      <w:r w:rsidR="006E073F" w:rsidRPr="006E073F">
        <w:rPr>
          <w:rFonts w:ascii="NobelCE Lt" w:hAnsi="NobelCE Lt"/>
          <w:b/>
          <w:color w:val="000000"/>
        </w:rPr>
        <w:t xml:space="preserve">ilion prodaných vozů modernizovanou modelovou řadou 2017 </w:t>
      </w:r>
    </w:p>
    <w:p w14:paraId="3805731F" w14:textId="77777777" w:rsidR="006E073F" w:rsidRPr="006E073F" w:rsidRDefault="006E073F" w:rsidP="006E073F">
      <w:pPr>
        <w:numPr>
          <w:ilvl w:val="0"/>
          <w:numId w:val="22"/>
        </w:numPr>
        <w:rPr>
          <w:rFonts w:ascii="NobelCE Lt" w:hAnsi="NobelCE Lt"/>
          <w:b/>
          <w:color w:val="000000"/>
        </w:rPr>
      </w:pPr>
      <w:r w:rsidRPr="006E073F">
        <w:rPr>
          <w:rFonts w:ascii="NobelCE Lt" w:hAnsi="NobelCE Lt"/>
          <w:b/>
          <w:color w:val="000000"/>
        </w:rPr>
        <w:t xml:space="preserve">Designová vylepšení čelních, bočních i zadních partií a jedinečná maska chladiče </w:t>
      </w:r>
      <w:r>
        <w:rPr>
          <w:rFonts w:ascii="NobelCE Lt" w:hAnsi="NobelCE Lt"/>
          <w:b/>
          <w:color w:val="000000"/>
        </w:rPr>
        <w:t xml:space="preserve">v </w:t>
      </w:r>
      <w:r w:rsidRPr="006E073F">
        <w:rPr>
          <w:rFonts w:ascii="NobelCE Lt" w:hAnsi="NobelCE Lt"/>
          <w:b/>
          <w:color w:val="000000"/>
        </w:rPr>
        <w:t>provedení F SPORT</w:t>
      </w:r>
    </w:p>
    <w:p w14:paraId="441E2FB2" w14:textId="77777777" w:rsidR="006E073F" w:rsidRPr="006E073F" w:rsidRDefault="006E073F" w:rsidP="006E073F">
      <w:pPr>
        <w:numPr>
          <w:ilvl w:val="0"/>
          <w:numId w:val="22"/>
        </w:numPr>
        <w:rPr>
          <w:rFonts w:ascii="NobelCE Lt" w:hAnsi="NobelCE Lt"/>
          <w:b/>
          <w:color w:val="000000"/>
        </w:rPr>
      </w:pPr>
      <w:r w:rsidRPr="006E073F">
        <w:rPr>
          <w:rFonts w:ascii="NobelCE Lt" w:hAnsi="NobelCE Lt"/>
          <w:b/>
          <w:color w:val="000000"/>
        </w:rPr>
        <w:t>Kultivovanější design interiéru a modernizované technologie HMI</w:t>
      </w:r>
    </w:p>
    <w:p w14:paraId="5518ABC9" w14:textId="77777777" w:rsidR="006E073F" w:rsidRPr="006E073F" w:rsidRDefault="006E073F" w:rsidP="006E073F">
      <w:pPr>
        <w:numPr>
          <w:ilvl w:val="0"/>
          <w:numId w:val="22"/>
        </w:numPr>
        <w:rPr>
          <w:rFonts w:ascii="NobelCE Lt" w:hAnsi="NobelCE Lt"/>
          <w:b/>
          <w:color w:val="000000"/>
        </w:rPr>
      </w:pPr>
      <w:r w:rsidRPr="006E073F">
        <w:rPr>
          <w:rFonts w:ascii="NobelCE Lt" w:hAnsi="NobelCE Lt"/>
          <w:b/>
          <w:color w:val="000000"/>
        </w:rPr>
        <w:t xml:space="preserve">Soustava Lexus Safety System+ k posílení aktivní bezpečnosti </w:t>
      </w:r>
    </w:p>
    <w:p w14:paraId="2E831BFB" w14:textId="77777777" w:rsidR="006E073F" w:rsidRPr="006E073F" w:rsidRDefault="006E073F" w:rsidP="006E073F">
      <w:pPr>
        <w:numPr>
          <w:ilvl w:val="0"/>
          <w:numId w:val="22"/>
        </w:numPr>
        <w:rPr>
          <w:rFonts w:ascii="NobelCE Lt" w:hAnsi="NobelCE Lt"/>
          <w:b/>
          <w:color w:val="000000"/>
        </w:rPr>
      </w:pPr>
      <w:r w:rsidRPr="006E073F">
        <w:rPr>
          <w:rFonts w:ascii="NobelCE Lt" w:hAnsi="NobelCE Lt"/>
          <w:b/>
          <w:color w:val="000000"/>
        </w:rPr>
        <w:t>Emise CO</w:t>
      </w:r>
      <w:r w:rsidRPr="006E073F">
        <w:rPr>
          <w:rFonts w:ascii="NobelCE Lt" w:hAnsi="NobelCE Lt"/>
          <w:b/>
          <w:color w:val="000000"/>
          <w:vertAlign w:val="subscript"/>
        </w:rPr>
        <w:t>2</w:t>
      </w:r>
      <w:r w:rsidRPr="006E073F">
        <w:rPr>
          <w:rFonts w:ascii="NobelCE Lt" w:hAnsi="NobelCE Lt"/>
          <w:b/>
          <w:color w:val="000000"/>
        </w:rPr>
        <w:t xml:space="preserve"> verze IS 300h</w:t>
      </w:r>
      <w:r>
        <w:rPr>
          <w:rFonts w:ascii="NobelCE Lt" w:hAnsi="NobelCE Lt"/>
          <w:b/>
          <w:color w:val="000000"/>
        </w:rPr>
        <w:t xml:space="preserve"> na úrovni </w:t>
      </w:r>
      <w:r w:rsidRPr="006E073F">
        <w:rPr>
          <w:rFonts w:ascii="NobelCE Lt" w:hAnsi="NobelCE Lt"/>
          <w:b/>
          <w:color w:val="000000"/>
        </w:rPr>
        <w:t xml:space="preserve">od 97 g/km </w:t>
      </w:r>
    </w:p>
    <w:p w14:paraId="76D53D7A" w14:textId="77777777" w:rsidR="006E073F" w:rsidRPr="006E073F" w:rsidRDefault="006E073F" w:rsidP="006E073F">
      <w:pPr>
        <w:numPr>
          <w:ilvl w:val="0"/>
          <w:numId w:val="22"/>
        </w:numPr>
        <w:rPr>
          <w:rFonts w:ascii="NobelCE Lt" w:hAnsi="NobelCE Lt"/>
          <w:b/>
          <w:color w:val="000000"/>
        </w:rPr>
      </w:pPr>
      <w:r w:rsidRPr="006E073F">
        <w:rPr>
          <w:rFonts w:ascii="NobelCE Lt" w:hAnsi="NobelCE Lt"/>
          <w:b/>
          <w:color w:val="000000"/>
        </w:rPr>
        <w:t>Úpravy podvozku v zájmu lepší jízdní dynamiky</w:t>
      </w:r>
    </w:p>
    <w:p w14:paraId="6DA47498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5919CE0C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>Na letošním autosalonu v Paříži se v evropské premiéře představí nová modelová řada Lexus IS</w:t>
      </w:r>
      <w:r>
        <w:rPr>
          <w:rFonts w:ascii="NobelCE Lt" w:hAnsi="NobelCE Lt"/>
          <w:color w:val="000000"/>
        </w:rPr>
        <w:t xml:space="preserve">. Ta </w:t>
      </w:r>
      <w:r w:rsidRPr="006E073F">
        <w:rPr>
          <w:rFonts w:ascii="NobelCE Lt" w:hAnsi="NobelCE Lt"/>
          <w:color w:val="000000"/>
        </w:rPr>
        <w:t>nabí</w:t>
      </w:r>
      <w:r>
        <w:rPr>
          <w:rFonts w:ascii="NobelCE Lt" w:hAnsi="NobelCE Lt"/>
          <w:color w:val="000000"/>
        </w:rPr>
        <w:t>dne</w:t>
      </w:r>
      <w:r w:rsidRPr="006E073F">
        <w:rPr>
          <w:rFonts w:ascii="NobelCE Lt" w:hAnsi="NobelCE Lt"/>
          <w:color w:val="000000"/>
        </w:rPr>
        <w:t xml:space="preserve"> modernizované stylistické ztvárnění, vylepšené technologie ovládacího rozhraní, nové odstíny karoserie</w:t>
      </w:r>
      <w:r>
        <w:rPr>
          <w:rFonts w:ascii="NobelCE Lt" w:hAnsi="NobelCE Lt"/>
          <w:color w:val="000000"/>
        </w:rPr>
        <w:t xml:space="preserve">, nová barevná schémata interiéru </w:t>
      </w:r>
      <w:r w:rsidRPr="006E073F">
        <w:rPr>
          <w:rFonts w:ascii="NobelCE Lt" w:hAnsi="NobelCE Lt"/>
          <w:color w:val="000000"/>
        </w:rPr>
        <w:t xml:space="preserve">a modernizovanou bezpečnostní výbavu. </w:t>
      </w:r>
    </w:p>
    <w:p w14:paraId="4E0292AD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53C1DB67" w14:textId="5F93EA5D" w:rsidR="006E073F" w:rsidRPr="006E073F" w:rsidRDefault="006E073F" w:rsidP="006E073F">
      <w:pPr>
        <w:rPr>
          <w:rFonts w:ascii="NobelCE Lt" w:hAnsi="NobelCE Lt"/>
          <w:color w:val="000000"/>
        </w:rPr>
      </w:pPr>
      <w:r w:rsidRPr="00365E88">
        <w:rPr>
          <w:rFonts w:ascii="NobelCE Lt" w:hAnsi="NobelCE Lt"/>
          <w:color w:val="000000"/>
        </w:rPr>
        <w:t>Celosvětové prodeje modelu Lexus IS dosáhly letos v červenci významného milníku. V rámci tří generací od roku 1999, kdy byl kompaktní sportovní sedan IS uveden na trh, se prodal</w:t>
      </w:r>
      <w:r w:rsidR="00365E88" w:rsidRPr="00365E88">
        <w:rPr>
          <w:rFonts w:ascii="NobelCE Lt" w:hAnsi="NobelCE Lt"/>
          <w:color w:val="000000"/>
        </w:rPr>
        <w:t xml:space="preserve"> již</w:t>
      </w:r>
      <w:r w:rsidRPr="00365E88">
        <w:rPr>
          <w:rFonts w:ascii="NobelCE Lt" w:hAnsi="NobelCE Lt"/>
          <w:color w:val="000000"/>
        </w:rPr>
        <w:t xml:space="preserve"> </w:t>
      </w:r>
      <w:r w:rsidR="00365E88">
        <w:rPr>
          <w:rFonts w:ascii="NobelCE Lt" w:hAnsi="NobelCE Lt"/>
          <w:color w:val="000000"/>
        </w:rPr>
        <w:t>jeden</w:t>
      </w:r>
      <w:r w:rsidRPr="00365E88">
        <w:rPr>
          <w:rFonts w:ascii="NobelCE Lt" w:hAnsi="NobelCE Lt"/>
          <w:color w:val="000000"/>
        </w:rPr>
        <w:t xml:space="preserve"> milion vozů. To představuje zásadní</w:t>
      </w:r>
      <w:r w:rsidRPr="006E073F">
        <w:rPr>
          <w:rFonts w:ascii="NobelCE Lt" w:hAnsi="NobelCE Lt"/>
          <w:color w:val="000000"/>
        </w:rPr>
        <w:t xml:space="preserve"> průlom v historii prvního modelu Lexus určeného především pro evropský trh – tedy region, kde se tento vůz dodnes těší nemalé oblibě zákazníků</w:t>
      </w:r>
      <w:r>
        <w:rPr>
          <w:rFonts w:ascii="NobelCE Lt" w:hAnsi="NobelCE Lt"/>
          <w:color w:val="000000"/>
        </w:rPr>
        <w:t>. D</w:t>
      </w:r>
      <w:r w:rsidRPr="006E073F">
        <w:rPr>
          <w:rFonts w:ascii="NobelCE Lt" w:hAnsi="NobelCE Lt"/>
          <w:color w:val="000000"/>
        </w:rPr>
        <w:t>osavadní evropské prodeje představovaly bezmála 20 </w:t>
      </w:r>
      <w:r w:rsidR="00365E88">
        <w:rPr>
          <w:rFonts w:ascii="NobelCE Lt" w:hAnsi="NobelCE Lt"/>
          <w:color w:val="000000"/>
        </w:rPr>
        <w:t>procent</w:t>
      </w:r>
      <w:r w:rsidRPr="006E073F">
        <w:rPr>
          <w:rFonts w:ascii="NobelCE Lt" w:hAnsi="NobelCE Lt"/>
          <w:color w:val="000000"/>
        </w:rPr>
        <w:t xml:space="preserve"> z celkového počtu prodaných vozů s tímto modelovým označením. </w:t>
      </w:r>
    </w:p>
    <w:p w14:paraId="4F0ACF1D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6CB87D6C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 xml:space="preserve">Současné IS třetí generace uvedlo do modelové řady pohon Lexus Hybrid Drive, čímž započalo novou éru tohoto modelu. Od představení varianty IS 300h v roce 2013 si tento model získal u evropských zákazníků s přehledem největší oblibu, přičemž jeho podíl na celkových prodejích IS dosáhl 90 procent. </w:t>
      </w:r>
    </w:p>
    <w:p w14:paraId="7CB09C08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1E5ECC3B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 xml:space="preserve">Model IS je i nadále klíčovou součástí globální modelové řady značky Lexus. V současnosti se prodává ve více než 70 zemích, přičemž jeho měsíční prodeje přesahují objem 6000 vozů. Modernizovaná modelová řada IS </w:t>
      </w:r>
      <w:r w:rsidR="0081234A">
        <w:rPr>
          <w:rFonts w:ascii="NobelCE Lt" w:hAnsi="NobelCE Lt"/>
          <w:color w:val="000000"/>
        </w:rPr>
        <w:t xml:space="preserve">přijde do prodeje </w:t>
      </w:r>
      <w:r w:rsidRPr="006E073F">
        <w:rPr>
          <w:rFonts w:ascii="NobelCE Lt" w:hAnsi="NobelCE Lt"/>
          <w:color w:val="000000"/>
        </w:rPr>
        <w:t xml:space="preserve">začátkem roku 2017. </w:t>
      </w:r>
    </w:p>
    <w:p w14:paraId="35CDA782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2DA00949" w14:textId="77777777" w:rsidR="006E073F" w:rsidRPr="0081234A" w:rsidRDefault="006E073F" w:rsidP="006E073F">
      <w:pPr>
        <w:rPr>
          <w:rFonts w:ascii="NobelCE Lt" w:hAnsi="NobelCE Lt"/>
          <w:b/>
          <w:color w:val="000000"/>
        </w:rPr>
      </w:pPr>
      <w:r w:rsidRPr="0081234A">
        <w:rPr>
          <w:rFonts w:ascii="NobelCE Lt" w:hAnsi="NobelCE Lt"/>
          <w:b/>
          <w:color w:val="000000"/>
        </w:rPr>
        <w:t>P</w:t>
      </w:r>
      <w:r w:rsidR="0081234A">
        <w:rPr>
          <w:rFonts w:ascii="NobelCE Lt" w:hAnsi="NobelCE Lt"/>
          <w:b/>
          <w:color w:val="000000"/>
        </w:rPr>
        <w:t>řepracovaný design exteriéru</w:t>
      </w:r>
      <w:r w:rsidRPr="0081234A">
        <w:rPr>
          <w:rFonts w:ascii="NobelCE Lt" w:hAnsi="NobelCE Lt"/>
          <w:b/>
          <w:color w:val="000000"/>
        </w:rPr>
        <w:t xml:space="preserve"> </w:t>
      </w:r>
    </w:p>
    <w:p w14:paraId="6F90EDF0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>Vzhledem k nemalé oblibě originálního stylistického pojetí současného modelu IS se Lexus rozhodl všechny klíčové prvky vnějšího designu ponechat beze změny</w:t>
      </w:r>
      <w:r w:rsidR="00EF6A8D">
        <w:rPr>
          <w:rFonts w:ascii="NobelCE Lt" w:hAnsi="NobelCE Lt"/>
          <w:color w:val="000000"/>
        </w:rPr>
        <w:t>. P</w:t>
      </w:r>
      <w:r w:rsidRPr="006E073F">
        <w:rPr>
          <w:rFonts w:ascii="NobelCE Lt" w:hAnsi="NobelCE Lt"/>
          <w:color w:val="000000"/>
        </w:rPr>
        <w:t xml:space="preserve">řední partie nového modelu však prodělala změny v podobě nových světlometů, velkých otvorů pro přívod vzduchu v předním nárazníku a nové úpravy masky chladiče ve tvaru vřetene, typické pro vozy této značky. </w:t>
      </w:r>
    </w:p>
    <w:p w14:paraId="260507C6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2A080CE0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 xml:space="preserve">Nově tvarované světlomety jsou oproti minulosti výraznější a více protaženy směrem dovnitř, což dalo vzniknout poutavému tvaru s akcentem na světla pro denní svícení ve tvaru písmene L. Nárazníky s integrovanými otvory přívodu vzduchu dynamicky ubíhají od blatníků, čímž tomuto sedanu propůjčují efektnější vzhled. </w:t>
      </w:r>
    </w:p>
    <w:p w14:paraId="11E2ADF7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4038A63C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 xml:space="preserve">Nová maska chladiče se směrem dozadu ohýbá až </w:t>
      </w:r>
      <w:r w:rsidR="00EF6A8D">
        <w:rPr>
          <w:rFonts w:ascii="NobelCE Lt" w:hAnsi="NobelCE Lt"/>
          <w:color w:val="000000"/>
        </w:rPr>
        <w:t xml:space="preserve">do </w:t>
      </w:r>
      <w:r w:rsidRPr="006E073F">
        <w:rPr>
          <w:rFonts w:ascii="NobelCE Lt" w:hAnsi="NobelCE Lt"/>
          <w:color w:val="000000"/>
        </w:rPr>
        <w:t xml:space="preserve">výše nad zemí, čímž se mění její proporce ve svislém směru v zájmu sportovnějšího pojetí s opticky nižším těžištěm. Nahoře pak nově tvarovaná maska hladce navazuje na přepracovanou kapotu. </w:t>
      </w:r>
    </w:p>
    <w:p w14:paraId="584E2CE7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4A1D8357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 xml:space="preserve">Nová maska </w:t>
      </w:r>
      <w:r w:rsidR="00EF6A8D">
        <w:rPr>
          <w:rFonts w:ascii="NobelCE Lt" w:hAnsi="NobelCE Lt"/>
          <w:color w:val="000000"/>
        </w:rPr>
        <w:t xml:space="preserve">v </w:t>
      </w:r>
      <w:r w:rsidRPr="006E073F">
        <w:rPr>
          <w:rFonts w:ascii="NobelCE Lt" w:hAnsi="NobelCE Lt"/>
          <w:color w:val="000000"/>
        </w:rPr>
        <w:t>provedení F SPORT, vyvedená v tmavém chromovém tónu, používá exkluzivní trojrozměrný rastr v podobě motivu F, do nějž jsou začleněny funkční chladicí kanály předních brzd. Ty</w:t>
      </w:r>
      <w:r w:rsidR="00EF6A8D">
        <w:rPr>
          <w:rFonts w:ascii="NobelCE Lt" w:hAnsi="NobelCE Lt"/>
          <w:color w:val="000000"/>
        </w:rPr>
        <w:t xml:space="preserve"> </w:t>
      </w:r>
      <w:r w:rsidRPr="006E073F">
        <w:rPr>
          <w:rFonts w:ascii="NobelCE Lt" w:hAnsi="NobelCE Lt"/>
          <w:color w:val="000000"/>
        </w:rPr>
        <w:t xml:space="preserve">evokují pocit jednolitosti prostřednictvím bočních dekorů s akcentem na aerodynamiku vozidla. </w:t>
      </w:r>
    </w:p>
    <w:p w14:paraId="6944903F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065EB375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 xml:space="preserve">Profil IS je štíhlejší </w:t>
      </w:r>
      <w:r w:rsidR="00EF6A8D">
        <w:rPr>
          <w:rFonts w:ascii="NobelCE Lt" w:hAnsi="NobelCE Lt"/>
          <w:color w:val="000000"/>
        </w:rPr>
        <w:t>díky zdůraznění</w:t>
      </w:r>
      <w:r w:rsidRPr="006E073F">
        <w:rPr>
          <w:rFonts w:ascii="NobelCE Lt" w:hAnsi="NobelCE Lt"/>
          <w:color w:val="000000"/>
        </w:rPr>
        <w:t xml:space="preserve"> charakteristické křivky směřující podél boku vozidla směrem dolů. Disky kol o rozměru 16, 17 nebo 18 palců svým novým designem dodávají vozu více dynamiky. Novinkou </w:t>
      </w:r>
      <w:r w:rsidRPr="006E073F">
        <w:rPr>
          <w:rFonts w:ascii="NobelCE Lt" w:hAnsi="NobelCE Lt"/>
          <w:color w:val="000000"/>
        </w:rPr>
        <w:lastRenderedPageBreak/>
        <w:t>modelové řady jsou 17" kola s pěti zdvojenými paprsky a lesklým strojově opracovaným povrchem, stejně tak jako 18" vícepaprsková litá kola pro stupeň výbavy Luxury.</w:t>
      </w:r>
    </w:p>
    <w:p w14:paraId="7A173890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67E1DAD4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 xml:space="preserve">Změny na zádi vozu jsou zdůrazněny koncovými svítilnami s markantnějšími LED světlovodnými trubicemi ve tvaru písmene L, nyní ztrojenými. Zaujmou i nové chromové koncovky výfuku lichoběžníkového tvaru, ještě zdůrazňující sportovní charakter vozu. </w:t>
      </w:r>
    </w:p>
    <w:p w14:paraId="5E94F438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1369F631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>A v neposlední řadě se rozšířila paleta odstínů karoserie IS o dva nové laky – temně modrou slídu a grafitově černou.</w:t>
      </w:r>
    </w:p>
    <w:p w14:paraId="63167437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6F754795" w14:textId="77777777" w:rsidR="006E073F" w:rsidRPr="00EF6A8D" w:rsidRDefault="006E073F" w:rsidP="006E073F">
      <w:pPr>
        <w:rPr>
          <w:rFonts w:ascii="NobelCE Lt" w:hAnsi="NobelCE Lt"/>
          <w:b/>
          <w:color w:val="000000"/>
        </w:rPr>
      </w:pPr>
      <w:r w:rsidRPr="00EF6A8D">
        <w:rPr>
          <w:rFonts w:ascii="NobelCE Lt" w:hAnsi="NobelCE Lt"/>
          <w:b/>
          <w:color w:val="000000"/>
        </w:rPr>
        <w:t>V</w:t>
      </w:r>
      <w:r w:rsidR="00EF6A8D">
        <w:rPr>
          <w:rFonts w:ascii="NobelCE Lt" w:hAnsi="NobelCE Lt"/>
          <w:b/>
          <w:color w:val="000000"/>
        </w:rPr>
        <w:t xml:space="preserve">ylepšený design interiéru a ovládacího rozhraní </w:t>
      </w:r>
      <w:r w:rsidRPr="00EF6A8D">
        <w:rPr>
          <w:rFonts w:ascii="NobelCE Lt" w:hAnsi="NobelCE Lt"/>
          <w:b/>
          <w:color w:val="000000"/>
        </w:rPr>
        <w:t xml:space="preserve"> </w:t>
      </w:r>
    </w:p>
    <w:p w14:paraId="014804A9" w14:textId="3D82E7A8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>V kabině nového IS se objevuje celá řada pečlivě promyšlených úprav. Displej multimediální soustavy se zvětšil z původních 7" na 10,25". Nový displej s velmi jemným rozlišením zprostředkuje větší a čistší zobraz</w:t>
      </w:r>
      <w:r w:rsidR="00365E88">
        <w:rPr>
          <w:rFonts w:ascii="NobelCE Lt" w:hAnsi="NobelCE Lt"/>
          <w:color w:val="000000"/>
        </w:rPr>
        <w:t>ení</w:t>
      </w:r>
      <w:r w:rsidRPr="006E073F">
        <w:rPr>
          <w:rFonts w:ascii="NobelCE Lt" w:hAnsi="NobelCE Lt"/>
          <w:color w:val="000000"/>
        </w:rPr>
        <w:t xml:space="preserve"> nejrůznějších funkcí pokrokové multimediální soustavy Lexus. </w:t>
      </w:r>
      <w:r w:rsidR="003153D4">
        <w:rPr>
          <w:rFonts w:ascii="NobelCE Lt" w:hAnsi="NobelCE Lt"/>
          <w:color w:val="000000"/>
        </w:rPr>
        <w:t xml:space="preserve"> </w:t>
      </w:r>
    </w:p>
    <w:p w14:paraId="42E77FAA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46198668" w14:textId="62BC91A5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>Po straně sdruženého ovladače RTI na středovém panelu se objevuje tlačítko 'Enter', které opět usnadnilo používání systému. Ovládací panel audio soustavy a</w:t>
      </w:r>
      <w:r w:rsidR="003153D4">
        <w:rPr>
          <w:rFonts w:ascii="NobelCE Lt" w:hAnsi="NobelCE Lt"/>
          <w:color w:val="000000"/>
        </w:rPr>
        <w:t xml:space="preserve"> klimatizace na středové konzole</w:t>
      </w:r>
      <w:r w:rsidRPr="006E073F">
        <w:rPr>
          <w:rFonts w:ascii="NobelCE Lt" w:hAnsi="NobelCE Lt"/>
          <w:color w:val="000000"/>
        </w:rPr>
        <w:t xml:space="preserve"> byl mírně upraven tak, aby dokonale zapadl mezi měkčené postranní části ve výši kolenou řidiče a předního spolujezdce</w:t>
      </w:r>
      <w:r w:rsidR="00065AB3">
        <w:rPr>
          <w:rFonts w:ascii="NobelCE Lt" w:hAnsi="NobelCE Lt"/>
          <w:color w:val="000000"/>
        </w:rPr>
        <w:t>. N</w:t>
      </w:r>
      <w:r w:rsidRPr="006E073F">
        <w:rPr>
          <w:rFonts w:ascii="NobelCE Lt" w:hAnsi="NobelCE Lt"/>
          <w:color w:val="000000"/>
        </w:rPr>
        <w:t xml:space="preserve">ová úprava s vlasovou povrchovou strukturou působí od pohledu kvalitněji a hodnotněji. </w:t>
      </w:r>
    </w:p>
    <w:p w14:paraId="5C462D6E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0B49B326" w14:textId="3C303252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 xml:space="preserve">Ke sportovnějšímu charakteru kokpitu IS přispívá nové prošívání v horní části </w:t>
      </w:r>
      <w:r w:rsidR="009E5344">
        <w:rPr>
          <w:rFonts w:ascii="NobelCE Lt" w:hAnsi="NobelCE Lt"/>
          <w:color w:val="000000"/>
        </w:rPr>
        <w:t>schránky</w:t>
      </w:r>
      <w:r w:rsidRPr="006E073F">
        <w:rPr>
          <w:rFonts w:ascii="NobelCE Lt" w:hAnsi="NobelCE Lt"/>
          <w:color w:val="000000"/>
        </w:rPr>
        <w:t xml:space="preserve"> přístrojů před řidičem společně s propracovanějším rychloměrem a otáčkoměrem. Z dalších vylepšení jmenujme nové držáky nápojů, novou větší kůží čalouněnou opěrku pro dlaň s prošíváním usnadňující práci se sdruženým ovladačem RTI, nebo nové cejchování kruhových stupnic u palubních analogových hodin.</w:t>
      </w:r>
    </w:p>
    <w:p w14:paraId="256A78A5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00A3227E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>Pro vybrané trhy se nabídka barevných schémat interiéru rozšířila o dva nové odstíny – černou Nuance (výhradně pro stupeň výbavy Sport) a hnědou Noble. Barevná schémata Moonstone a Ivory byla nahrazena provedením Sandstone</w:t>
      </w:r>
      <w:r w:rsidR="00B02DEC">
        <w:rPr>
          <w:rFonts w:ascii="NobelCE Lt" w:hAnsi="NobelCE Lt"/>
          <w:color w:val="000000"/>
        </w:rPr>
        <w:t>. Tento</w:t>
      </w:r>
      <w:r w:rsidRPr="006E073F">
        <w:rPr>
          <w:rFonts w:ascii="NobelCE Lt" w:hAnsi="NobelCE Lt"/>
          <w:color w:val="000000"/>
        </w:rPr>
        <w:t xml:space="preserve"> nový světlý odstín spojuje eleganci slonoviny s modernějším světle šedým tónem. </w:t>
      </w:r>
      <w:r w:rsidRPr="006E073F">
        <w:rPr>
          <w:rFonts w:ascii="NobelCE Lt" w:hAnsi="NobelCE Lt"/>
          <w:color w:val="000000"/>
        </w:rPr>
        <w:tab/>
      </w:r>
    </w:p>
    <w:p w14:paraId="0D6EF95E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75614A76" w14:textId="77777777" w:rsidR="006E073F" w:rsidRPr="006E073F" w:rsidRDefault="006E073F" w:rsidP="006E073F">
      <w:pPr>
        <w:rPr>
          <w:rFonts w:ascii="NobelCE Lt" w:hAnsi="NobelCE Lt"/>
          <w:b/>
          <w:color w:val="000000"/>
          <w:sz w:val="28"/>
        </w:rPr>
      </w:pPr>
      <w:r w:rsidRPr="00C36A6F">
        <w:rPr>
          <w:rFonts w:ascii="NobelCE Lt" w:hAnsi="NobelCE Lt"/>
          <w:b/>
          <w:color w:val="000000"/>
        </w:rPr>
        <w:t>N</w:t>
      </w:r>
      <w:r w:rsidR="00C36A6F">
        <w:rPr>
          <w:rFonts w:ascii="NobelCE Lt" w:hAnsi="NobelCE Lt"/>
          <w:b/>
          <w:color w:val="000000"/>
        </w:rPr>
        <w:t xml:space="preserve">abídka pohonných ústrojí </w:t>
      </w:r>
      <w:r w:rsidRPr="00C36A6F">
        <w:rPr>
          <w:rFonts w:ascii="NobelCE Lt" w:hAnsi="NobelCE Lt"/>
          <w:b/>
          <w:color w:val="000000"/>
        </w:rPr>
        <w:t xml:space="preserve"> </w:t>
      </w:r>
    </w:p>
    <w:p w14:paraId="307288DE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>Nabídka motorizací pro novou model</w:t>
      </w:r>
      <w:r w:rsidR="00C36A6F">
        <w:rPr>
          <w:rFonts w:ascii="NobelCE Lt" w:hAnsi="NobelCE Lt"/>
          <w:color w:val="000000"/>
        </w:rPr>
        <w:t>ovou řadu IS zůstává beze změny. Z</w:t>
      </w:r>
      <w:r w:rsidRPr="006E073F">
        <w:rPr>
          <w:rFonts w:ascii="NobelCE Lt" w:hAnsi="NobelCE Lt"/>
          <w:color w:val="000000"/>
        </w:rPr>
        <w:t xml:space="preserve">ákazníci tak mohou volit mezi plně hybridním ústrojím nebo přeplňovaným benzínovým motorem 2,0 litru. </w:t>
      </w:r>
    </w:p>
    <w:p w14:paraId="34F96F69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6033E2EA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 xml:space="preserve">Plně hybridní IS 300h, představující výraznou většinu evropských prodejů, nabízí mimořádně hladký chod a nízkou spotřebu při zachování příjemných vlastností, pro které si tento model řidiči tak oblíbili. </w:t>
      </w:r>
    </w:p>
    <w:p w14:paraId="419507B2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0D550598" w14:textId="77777777" w:rsidR="006E073F" w:rsidRPr="006E073F" w:rsidRDefault="006E073F" w:rsidP="006E073F">
      <w:pPr>
        <w:rPr>
          <w:rFonts w:ascii="NobelCE Lt" w:hAnsi="NobelCE Lt"/>
        </w:rPr>
      </w:pPr>
      <w:r w:rsidRPr="006E073F">
        <w:rPr>
          <w:rFonts w:ascii="NobelCE Lt" w:hAnsi="NobelCE Lt"/>
        </w:rPr>
        <w:t xml:space="preserve">Plně hybridní hnací ústrojí spojuje zážehový čtyřválec 2,5 litru používající Atkinsonův cyklus s kompaktním a výkonným elektromotorem pro hladké a agilní jízdní schopnosti, na nichž má podíl i inteligentní proměnné časování ventilů Dual VVT-i, technologie vstřikování paliva Lexus D-4S a vysoce účinný systém recirkulace výfukových plynů. </w:t>
      </w:r>
    </w:p>
    <w:p w14:paraId="11C4481A" w14:textId="77777777" w:rsidR="006E073F" w:rsidRPr="006E073F" w:rsidRDefault="006E073F" w:rsidP="006E073F">
      <w:pPr>
        <w:rPr>
          <w:rFonts w:ascii="NobelCE Lt" w:hAnsi="NobelCE Lt"/>
        </w:rPr>
      </w:pPr>
    </w:p>
    <w:p w14:paraId="320EC38B" w14:textId="77777777" w:rsidR="006E073F" w:rsidRPr="006E073F" w:rsidRDefault="006E073F" w:rsidP="006E073F">
      <w:pPr>
        <w:rPr>
          <w:rFonts w:ascii="NobelCE Lt" w:hAnsi="NobelCE Lt"/>
        </w:rPr>
      </w:pPr>
      <w:r w:rsidRPr="006E073F">
        <w:rPr>
          <w:rFonts w:ascii="NobelCE Lt" w:hAnsi="NobelCE Lt"/>
        </w:rPr>
        <w:t>Vyspělá konstrukce přináší bezkonkurenčně nízké emise a spotřebu paliva, kdy normované hodnoty emisí CO</w:t>
      </w:r>
      <w:r w:rsidRPr="006E073F">
        <w:rPr>
          <w:rFonts w:ascii="NobelCE Lt" w:hAnsi="NobelCE Lt"/>
          <w:vertAlign w:val="subscript"/>
        </w:rPr>
        <w:t>2</w:t>
      </w:r>
      <w:r w:rsidRPr="006E073F">
        <w:rPr>
          <w:rFonts w:ascii="NobelCE Lt" w:hAnsi="NobelCE Lt"/>
        </w:rPr>
        <w:t xml:space="preserve"> začínají na 97 g/km a spotřeba na 4,3 l/100 km, což ještě zvyšuje atraktivitu tohoto modelu na trzích, kde ekologické parametry a náklady na vlastnictví vozidla hrají při rozhodování zákazníků klíčovou roli. </w:t>
      </w:r>
    </w:p>
    <w:p w14:paraId="7B708AE0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278CBC59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 xml:space="preserve">Model IS 200t </w:t>
      </w:r>
      <w:r w:rsidR="00C36A6F">
        <w:rPr>
          <w:rFonts w:ascii="NobelCE Lt" w:hAnsi="NobelCE Lt"/>
          <w:color w:val="000000"/>
        </w:rPr>
        <w:t xml:space="preserve">pohání </w:t>
      </w:r>
      <w:r w:rsidRPr="006E073F">
        <w:rPr>
          <w:rFonts w:ascii="NobelCE Lt" w:hAnsi="NobelCE Lt"/>
          <w:color w:val="000000"/>
        </w:rPr>
        <w:t>čtyřválec 2,0 litru přeplňovaný turbodmychadlem Twin Scroll. Tato poměrně nová jednotka je spojena s hladce fungující automatickou 8st. převodovkou s přímým sportovním řazením, vyvinutou pro vysoce výkonnou variantu RC F.</w:t>
      </w:r>
    </w:p>
    <w:p w14:paraId="5D22574E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097C354A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lastRenderedPageBreak/>
        <w:t>Motor se vyznačuje řadou pokrokových technologií, včetně systému časování ventilů (s krokovým elektromotorem), jenž dovoluje přepínat mezi Ottovým a Atkinsonovým cyklem změnou úhlu otevírání sacích ventilů</w:t>
      </w:r>
      <w:r w:rsidR="00C36A6F">
        <w:rPr>
          <w:rFonts w:ascii="NobelCE Lt" w:hAnsi="NobelCE Lt"/>
          <w:color w:val="000000"/>
        </w:rPr>
        <w:t>. J</w:t>
      </w:r>
      <w:r w:rsidRPr="006E073F">
        <w:rPr>
          <w:rFonts w:ascii="NobelCE Lt" w:hAnsi="NobelCE Lt"/>
          <w:color w:val="000000"/>
        </w:rPr>
        <w:t xml:space="preserve">ednotka používá i systém přímého vstřikování paliva D-4ST. </w:t>
      </w:r>
    </w:p>
    <w:p w14:paraId="7D150536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2A75E4B3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 xml:space="preserve">Tato technologie kombinuje vysokotlakou palivovou soustavu pro vstřikování přímo do válců s nízkotlakou soustavou pro vstřikování do sacích kanálů. Nejvyšší výkon činí 180 kW (245 k) při 5800 ot/min a maximum točivého momentu je 350 Nm v pásmu od 1650 do 4400 ot/min. </w:t>
      </w:r>
    </w:p>
    <w:p w14:paraId="07D37914" w14:textId="77777777" w:rsidR="006E073F" w:rsidRPr="006E073F" w:rsidRDefault="006E073F" w:rsidP="006E073F">
      <w:pPr>
        <w:rPr>
          <w:rFonts w:ascii="NobelCE Lt" w:hAnsi="NobelCE Lt"/>
        </w:rPr>
      </w:pPr>
    </w:p>
    <w:p w14:paraId="56D8A3C5" w14:textId="77777777" w:rsidR="006E073F" w:rsidRPr="00C36A6F" w:rsidRDefault="006E073F" w:rsidP="006E073F">
      <w:pPr>
        <w:rPr>
          <w:rFonts w:ascii="NobelCE Lt" w:hAnsi="NobelCE Lt"/>
          <w:b/>
          <w:color w:val="000000"/>
        </w:rPr>
      </w:pPr>
      <w:r w:rsidRPr="00C36A6F">
        <w:rPr>
          <w:rFonts w:ascii="NobelCE Lt" w:hAnsi="NobelCE Lt"/>
          <w:b/>
          <w:color w:val="000000"/>
        </w:rPr>
        <w:t>B</w:t>
      </w:r>
      <w:r w:rsidR="00C36A6F">
        <w:rPr>
          <w:rFonts w:ascii="NobelCE Lt" w:hAnsi="NobelCE Lt"/>
          <w:b/>
          <w:color w:val="000000"/>
        </w:rPr>
        <w:t>ezpečnostní technologie na vrcholu třídy</w:t>
      </w:r>
      <w:r w:rsidRPr="00C36A6F">
        <w:rPr>
          <w:rFonts w:ascii="NobelCE Lt" w:hAnsi="NobelCE Lt"/>
          <w:b/>
          <w:color w:val="000000"/>
        </w:rPr>
        <w:t xml:space="preserve"> </w:t>
      </w:r>
    </w:p>
    <w:p w14:paraId="500F9C8D" w14:textId="77777777" w:rsidR="006E073F" w:rsidRPr="006E073F" w:rsidRDefault="006E073F" w:rsidP="006E073F">
      <w:pPr>
        <w:rPr>
          <w:rFonts w:ascii="NobelCE Lt" w:hAnsi="NobelCE Lt"/>
        </w:rPr>
      </w:pPr>
      <w:r w:rsidRPr="006E073F">
        <w:rPr>
          <w:rFonts w:ascii="NobelCE Lt" w:hAnsi="NobelCE Lt"/>
        </w:rPr>
        <w:t>V</w:t>
      </w:r>
      <w:r w:rsidR="00C36A6F">
        <w:rPr>
          <w:rFonts w:ascii="NobelCE Lt" w:hAnsi="NobelCE Lt"/>
        </w:rPr>
        <w:t xml:space="preserve">e snaze </w:t>
      </w:r>
      <w:r w:rsidRPr="006E073F">
        <w:rPr>
          <w:rFonts w:ascii="NobelCE Lt" w:hAnsi="NobelCE Lt"/>
        </w:rPr>
        <w:t xml:space="preserve">nabízet většímu počtu zákazníků nejmodernější technologie za atraktivní cenu byla bezpečnostní výbava </w:t>
      </w:r>
      <w:r w:rsidRPr="006E073F">
        <w:rPr>
          <w:rFonts w:ascii="NobelCE Lt" w:hAnsi="NobelCE Lt"/>
          <w:color w:val="000000"/>
        </w:rPr>
        <w:t>nového IS rozšířena o Lexus Safety System+, nově vyvinutý paket technologií aktivní bezpečnosti, jehož smyslem je napomoci předcházet nehodám nebo zmírňovat jejich následky za nejrůznějších dopravních situací</w:t>
      </w:r>
      <w:r w:rsidRPr="006E073F">
        <w:rPr>
          <w:rFonts w:ascii="NobelCE Lt" w:hAnsi="NobelCE Lt"/>
        </w:rPr>
        <w:t xml:space="preserve">. </w:t>
      </w:r>
    </w:p>
    <w:p w14:paraId="01F59ADA" w14:textId="77777777" w:rsidR="006E073F" w:rsidRPr="006E073F" w:rsidRDefault="006E073F" w:rsidP="006E073F">
      <w:pPr>
        <w:rPr>
          <w:rFonts w:ascii="NobelCE Lt" w:hAnsi="NobelCE Lt"/>
        </w:rPr>
      </w:pPr>
    </w:p>
    <w:p w14:paraId="46425790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</w:rPr>
        <w:t xml:space="preserve">Bezpečnostní paket Lexus Safety System+ s ohledem na co nejúčinnější rozpoznávání objektů používá </w:t>
      </w:r>
      <w:r w:rsidR="00C36A6F">
        <w:rPr>
          <w:rFonts w:ascii="NobelCE Lt" w:hAnsi="NobelCE Lt"/>
        </w:rPr>
        <w:t>radar v kombinaci s kamerou. Tento paket</w:t>
      </w:r>
      <w:r w:rsidRPr="006E073F">
        <w:rPr>
          <w:rFonts w:ascii="NobelCE Lt" w:hAnsi="NobelCE Lt"/>
        </w:rPr>
        <w:t xml:space="preserve"> zahrnuje bezpečnostní systém pro předcházení kolizím (PCS) s funkcí rozpoznávání chodců (pomáhá střetům zcela předejít, nebo alespoň snížit závažnost kolize), </w:t>
      </w:r>
      <w:r w:rsidRPr="006E073F">
        <w:rPr>
          <w:rFonts w:ascii="NobelCE Lt" w:hAnsi="NobelCE Lt"/>
          <w:color w:val="000000"/>
        </w:rPr>
        <w:t>systém pro udržování vozidla v jízdním pruhu (LDA) s asistentem řízení, automatická dálková světla (AHB) a adaptivní tempomat podporovaný v celém rozsahu rychlostí.</w:t>
      </w:r>
    </w:p>
    <w:p w14:paraId="7A261C42" w14:textId="77777777" w:rsidR="006E073F" w:rsidRPr="006E073F" w:rsidRDefault="006E073F" w:rsidP="006E073F">
      <w:pPr>
        <w:rPr>
          <w:rFonts w:ascii="NobelCE Lt" w:hAnsi="NobelCE Lt"/>
        </w:rPr>
      </w:pPr>
    </w:p>
    <w:p w14:paraId="231704DE" w14:textId="77777777" w:rsidR="006E073F" w:rsidRPr="00C36A6F" w:rsidRDefault="006E073F" w:rsidP="006E073F">
      <w:pPr>
        <w:rPr>
          <w:rFonts w:ascii="NobelCE Lt" w:hAnsi="NobelCE Lt"/>
          <w:b/>
          <w:color w:val="000000"/>
        </w:rPr>
      </w:pPr>
      <w:r w:rsidRPr="00C36A6F">
        <w:rPr>
          <w:rFonts w:ascii="NobelCE Lt" w:hAnsi="NobelCE Lt"/>
          <w:b/>
          <w:color w:val="000000"/>
        </w:rPr>
        <w:t>V</w:t>
      </w:r>
      <w:r w:rsidR="00C36A6F">
        <w:rPr>
          <w:rFonts w:ascii="NobelCE Lt" w:hAnsi="NobelCE Lt"/>
          <w:b/>
          <w:color w:val="000000"/>
        </w:rPr>
        <w:t>ylepšená jízdní dynamika</w:t>
      </w:r>
    </w:p>
    <w:p w14:paraId="452279E9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 xml:space="preserve">Ke zlepšení jízdní dynamiky nového IS přispěly klíčové úpravy zavěšení předních i zadních kol a soustavy řízení. </w:t>
      </w:r>
    </w:p>
    <w:p w14:paraId="56ABC180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162B2DE2" w14:textId="472DDD21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 xml:space="preserve">Přední dvojité lichoběžníkové zavěšení nyní používá novou soustavu spodních vodicích ramen z kovaného hliníku, která přinesla nárůst tuhosti o 49 </w:t>
      </w:r>
      <w:r w:rsidR="00CC0AD7">
        <w:rPr>
          <w:rFonts w:ascii="NobelCE Lt" w:hAnsi="NobelCE Lt"/>
          <w:color w:val="000000"/>
        </w:rPr>
        <w:t>procent</w:t>
      </w:r>
      <w:r w:rsidRPr="006E073F">
        <w:rPr>
          <w:rFonts w:ascii="NobelCE Lt" w:hAnsi="NobelCE Lt"/>
          <w:color w:val="000000"/>
        </w:rPr>
        <w:t xml:space="preserve"> oproti starším ocelovým prvkům</w:t>
      </w:r>
      <w:r w:rsidR="00C36A6F">
        <w:rPr>
          <w:rFonts w:ascii="NobelCE Lt" w:hAnsi="NobelCE Lt"/>
          <w:color w:val="000000"/>
        </w:rPr>
        <w:t>. K</w:t>
      </w:r>
      <w:r w:rsidRPr="006E073F">
        <w:rPr>
          <w:rFonts w:ascii="NobelCE Lt" w:hAnsi="NobelCE Lt"/>
          <w:color w:val="000000"/>
        </w:rPr>
        <w:t xml:space="preserve">romě toho se o 29 zvýšila tuhost nového pouzdra č. 1. Nové prvky společně přinášejí výrazně lepší reakce řízení za ustálené jízdy. Zavěšení předních kol dále používá nové horní úchyty zavěšení, pružiny s odlišnou tuhostí a nové komponenty tlumičů, které jsou navíc jinak seřízeny. </w:t>
      </w:r>
    </w:p>
    <w:p w14:paraId="118BFD8A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428A40B8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>U zadního víceprvkového zavěšení najdeme nová pouzdra č. 1 horních ramen a nové tyče stabilizátorů a nové komponenty odlišně seřízených tlumičů.</w:t>
      </w:r>
    </w:p>
    <w:p w14:paraId="4CE1A56A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0793B3CB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>Změny se dotkly i nastavení elektronické řídicí jednotky elektrického posilovače řízení.</w:t>
      </w:r>
    </w:p>
    <w:p w14:paraId="486535E2" w14:textId="77777777" w:rsidR="006E073F" w:rsidRPr="006E073F" w:rsidRDefault="006E073F" w:rsidP="006E073F">
      <w:pPr>
        <w:rPr>
          <w:rFonts w:ascii="NobelCE Lt" w:hAnsi="NobelCE Lt"/>
          <w:color w:val="000000"/>
        </w:rPr>
      </w:pPr>
    </w:p>
    <w:p w14:paraId="6DD0EF59" w14:textId="77777777" w:rsidR="006E073F" w:rsidRPr="006E073F" w:rsidRDefault="006E073F" w:rsidP="006E073F">
      <w:pPr>
        <w:rPr>
          <w:rFonts w:ascii="NobelCE Lt" w:hAnsi="NobelCE Lt"/>
          <w:color w:val="000000"/>
        </w:rPr>
      </w:pPr>
      <w:r w:rsidRPr="006E073F">
        <w:rPr>
          <w:rFonts w:ascii="NobelCE Lt" w:hAnsi="NobelCE Lt"/>
          <w:color w:val="000000"/>
        </w:rPr>
        <w:t xml:space="preserve">Výsledkem </w:t>
      </w:r>
      <w:r w:rsidR="00C36A6F">
        <w:rPr>
          <w:rFonts w:ascii="NobelCE Lt" w:hAnsi="NobelCE Lt"/>
          <w:color w:val="000000"/>
        </w:rPr>
        <w:t xml:space="preserve">těchto změn </w:t>
      </w:r>
      <w:r w:rsidRPr="006E073F">
        <w:rPr>
          <w:rFonts w:ascii="NobelCE Lt" w:hAnsi="NobelCE Lt"/>
          <w:color w:val="000000"/>
        </w:rPr>
        <w:t>u všech provedení IS vč. verze F SPORT je zlepšení jízdních kvalit, kontroly pohybů karoserie, záběrových schopností zadních kol a stability v přímém směru, stejně tak jako lepší odezvy a zpětné vazby řízení.</w:t>
      </w:r>
    </w:p>
    <w:p w14:paraId="037B17C8" w14:textId="77777777" w:rsidR="006E073F" w:rsidRDefault="006E073F" w:rsidP="006E073F">
      <w:pPr>
        <w:rPr>
          <w:rFonts w:ascii="NobelCE Lt" w:hAnsi="NobelCE Lt"/>
          <w:b/>
          <w:color w:val="000000"/>
          <w:sz w:val="28"/>
        </w:rPr>
      </w:pPr>
    </w:p>
    <w:p w14:paraId="244BFD3E" w14:textId="77777777" w:rsidR="00264B3E" w:rsidRDefault="00264B3E" w:rsidP="006E073F">
      <w:pPr>
        <w:rPr>
          <w:rFonts w:ascii="NobelCE Lt" w:hAnsi="NobelCE Lt"/>
          <w:b/>
          <w:color w:val="000000"/>
          <w:sz w:val="28"/>
        </w:rPr>
      </w:pPr>
    </w:p>
    <w:p w14:paraId="123F0619" w14:textId="77777777" w:rsidR="00264B3E" w:rsidRDefault="00264B3E" w:rsidP="006E073F">
      <w:pPr>
        <w:rPr>
          <w:rFonts w:ascii="NobelCE Lt" w:hAnsi="NobelCE Lt"/>
          <w:b/>
          <w:color w:val="000000"/>
          <w:sz w:val="28"/>
        </w:rPr>
      </w:pPr>
    </w:p>
    <w:p w14:paraId="16D9A701" w14:textId="77777777" w:rsidR="00264B3E" w:rsidRDefault="00264B3E" w:rsidP="006E073F">
      <w:pPr>
        <w:rPr>
          <w:rFonts w:ascii="NobelCE Lt" w:hAnsi="NobelCE Lt"/>
          <w:b/>
          <w:color w:val="000000"/>
          <w:sz w:val="28"/>
        </w:rPr>
      </w:pPr>
    </w:p>
    <w:p w14:paraId="36E89480" w14:textId="77777777" w:rsidR="00264B3E" w:rsidRDefault="00264B3E" w:rsidP="006E073F">
      <w:pPr>
        <w:rPr>
          <w:rFonts w:ascii="NobelCE Lt" w:hAnsi="NobelCE Lt"/>
          <w:b/>
          <w:color w:val="000000"/>
          <w:sz w:val="28"/>
        </w:rPr>
      </w:pPr>
    </w:p>
    <w:p w14:paraId="1395C2C0" w14:textId="77777777" w:rsidR="00264B3E" w:rsidRDefault="00264B3E" w:rsidP="006E073F">
      <w:pPr>
        <w:rPr>
          <w:rFonts w:ascii="NobelCE Lt" w:hAnsi="NobelCE Lt"/>
          <w:b/>
          <w:color w:val="000000"/>
          <w:sz w:val="28"/>
        </w:rPr>
      </w:pPr>
    </w:p>
    <w:p w14:paraId="735D07D4" w14:textId="77777777" w:rsidR="00264B3E" w:rsidRDefault="00264B3E" w:rsidP="006E073F">
      <w:pPr>
        <w:rPr>
          <w:rFonts w:ascii="NobelCE Lt" w:hAnsi="NobelCE Lt"/>
          <w:b/>
          <w:color w:val="000000"/>
          <w:sz w:val="28"/>
        </w:rPr>
      </w:pPr>
    </w:p>
    <w:p w14:paraId="5302462D" w14:textId="77777777" w:rsidR="00264B3E" w:rsidRDefault="00264B3E" w:rsidP="006E073F">
      <w:pPr>
        <w:rPr>
          <w:rFonts w:ascii="NobelCE Lt" w:hAnsi="NobelCE Lt"/>
          <w:b/>
          <w:color w:val="000000"/>
          <w:sz w:val="28"/>
        </w:rPr>
      </w:pPr>
    </w:p>
    <w:p w14:paraId="194B176C" w14:textId="77777777" w:rsidR="00264B3E" w:rsidRDefault="00264B3E" w:rsidP="006E073F">
      <w:pPr>
        <w:rPr>
          <w:rFonts w:ascii="NobelCE Lt" w:hAnsi="NobelCE Lt"/>
          <w:b/>
          <w:color w:val="000000"/>
          <w:sz w:val="28"/>
        </w:rPr>
      </w:pPr>
    </w:p>
    <w:p w14:paraId="70CE535D" w14:textId="77777777" w:rsidR="00264B3E" w:rsidRDefault="00264B3E" w:rsidP="006E073F">
      <w:pPr>
        <w:rPr>
          <w:rFonts w:ascii="NobelCE Lt" w:hAnsi="NobelCE Lt"/>
          <w:b/>
          <w:color w:val="000000"/>
          <w:sz w:val="28"/>
        </w:rPr>
      </w:pPr>
    </w:p>
    <w:p w14:paraId="3660FB6A" w14:textId="77777777" w:rsidR="00264B3E" w:rsidRPr="006E073F" w:rsidRDefault="00264B3E" w:rsidP="006E073F">
      <w:pPr>
        <w:rPr>
          <w:rFonts w:ascii="NobelCE Lt" w:hAnsi="NobelCE Lt"/>
          <w:b/>
          <w:color w:val="000000"/>
          <w:sz w:val="28"/>
        </w:rPr>
      </w:pPr>
    </w:p>
    <w:p w14:paraId="4199E940" w14:textId="77777777" w:rsidR="006E073F" w:rsidRPr="00C36A6F" w:rsidRDefault="006E073F" w:rsidP="006E073F">
      <w:pPr>
        <w:rPr>
          <w:rFonts w:ascii="NobelCE Lt" w:hAnsi="NobelCE Lt"/>
          <w:b/>
          <w:color w:val="000000"/>
        </w:rPr>
      </w:pPr>
      <w:r w:rsidRPr="00C36A6F">
        <w:rPr>
          <w:rFonts w:ascii="NobelCE Lt" w:hAnsi="NobelCE Lt"/>
          <w:b/>
          <w:color w:val="000000"/>
        </w:rPr>
        <w:lastRenderedPageBreak/>
        <w:t>T</w:t>
      </w:r>
      <w:r w:rsidR="00C36A6F">
        <w:rPr>
          <w:rFonts w:ascii="NobelCE Lt" w:hAnsi="NobelCE Lt"/>
          <w:b/>
          <w:color w:val="000000"/>
        </w:rPr>
        <w:t>echnické specifikace modelu Lexus IS</w:t>
      </w:r>
    </w:p>
    <w:tbl>
      <w:tblPr>
        <w:tblW w:w="930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098"/>
        <w:gridCol w:w="1193"/>
        <w:gridCol w:w="1408"/>
        <w:gridCol w:w="718"/>
        <w:gridCol w:w="1928"/>
        <w:gridCol w:w="1958"/>
      </w:tblGrid>
      <w:tr w:rsidR="006E073F" w:rsidRPr="006E073F" w14:paraId="1E8BB9E6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8960AA0" w14:textId="77777777" w:rsidR="006E073F" w:rsidRPr="006E073F" w:rsidRDefault="006E073F" w:rsidP="004D402D">
            <w:pPr>
              <w:autoSpaceDE w:val="0"/>
              <w:autoSpaceDN w:val="0"/>
              <w:adjustRightInd w:val="0"/>
              <w:ind w:left="72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F2275D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80E96A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2B6B30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5FEE10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</w:p>
          <w:p w14:paraId="5E0B4F9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IS 300h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72FA08D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</w:p>
          <w:p w14:paraId="7D32BD0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IS 200t</w:t>
            </w:r>
          </w:p>
        </w:tc>
      </w:tr>
      <w:tr w:rsidR="006E073F" w:rsidRPr="006E073F" w14:paraId="56299124" w14:textId="77777777" w:rsidTr="004D402D">
        <w:trPr>
          <w:trHeight w:val="139"/>
        </w:trPr>
        <w:tc>
          <w:tcPr>
            <w:tcW w:w="46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7167711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Hlavní rozměry a hmotnosti vozidla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286B471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36932A6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46CD89B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</w:p>
        </w:tc>
      </w:tr>
      <w:tr w:rsidR="006E073F" w:rsidRPr="006E073F" w14:paraId="0C28D1CC" w14:textId="77777777" w:rsidTr="004D402D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3B1F37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 xml:space="preserve">Celk. </w:t>
            </w:r>
          </w:p>
          <w:p w14:paraId="2CD6BAF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(pohotovostní hmotnost)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4D00E5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Délka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CC313A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D66ED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 xml:space="preserve">mm </w:t>
            </w:r>
          </w:p>
        </w:tc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66571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4680</w:t>
            </w:r>
          </w:p>
        </w:tc>
      </w:tr>
      <w:tr w:rsidR="006E073F" w:rsidRPr="006E073F" w14:paraId="135B1F7A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50545E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5814C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 xml:space="preserve">Šířka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22BA6F" w14:textId="77777777" w:rsidR="006E073F" w:rsidRPr="006E073F" w:rsidRDefault="006E073F" w:rsidP="004D402D">
            <w:pPr>
              <w:autoSpaceDE w:val="0"/>
              <w:autoSpaceDN w:val="0"/>
              <w:adjustRightInd w:val="0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Se sklop. zrcátky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573CD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C6028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1810</w:t>
            </w:r>
          </w:p>
        </w:tc>
      </w:tr>
      <w:tr w:rsidR="006E073F" w:rsidRPr="006E073F" w14:paraId="368AB2BC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9D3548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844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056B5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Vč. zrcátek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F3B06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C2A04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2027</w:t>
            </w:r>
          </w:p>
        </w:tc>
      </w:tr>
      <w:tr w:rsidR="006E073F" w:rsidRPr="006E073F" w14:paraId="6806E546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F796F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672BD8" w14:textId="77777777" w:rsidR="006E073F" w:rsidRPr="006E073F" w:rsidRDefault="00C36A6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  <w:vertAlign w:val="superscript"/>
              </w:rPr>
            </w:pPr>
            <w:r>
              <w:rPr>
                <w:rFonts w:ascii="NobelCE Lt" w:hAnsi="NobelCE Lt"/>
                <w:color w:val="000000"/>
                <w:sz w:val="20"/>
              </w:rPr>
              <w:t>Výška</w:t>
            </w: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09B41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4ED72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A0FC9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1430</w:t>
            </w:r>
          </w:p>
        </w:tc>
      </w:tr>
      <w:tr w:rsidR="006E073F" w:rsidRPr="006E073F" w14:paraId="71989AAF" w14:textId="77777777" w:rsidTr="004D402D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B96A60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 xml:space="preserve">Rozvor 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6BBD6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4DB2B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CE0D5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E1B98F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2800</w:t>
            </w:r>
          </w:p>
        </w:tc>
      </w:tr>
      <w:tr w:rsidR="006E073F" w:rsidRPr="006E073F" w14:paraId="5205ACF8" w14:textId="77777777" w:rsidTr="004D402D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6730F7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Rozchod kol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24B3E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Vpředu</w:t>
            </w: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175C5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3D8BB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266BE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1535</w:t>
            </w:r>
          </w:p>
        </w:tc>
      </w:tr>
      <w:tr w:rsidR="006E073F" w:rsidRPr="006E073F" w14:paraId="52728619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C9874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5778D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Vzadu</w:t>
            </w: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C2FBD0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43272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415BF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1550/1540</w:t>
            </w:r>
          </w:p>
        </w:tc>
      </w:tr>
      <w:tr w:rsidR="006E073F" w:rsidRPr="006E073F" w14:paraId="2A19BEFD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E8F45B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Počet míst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729F7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5CD9E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20FAF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Osob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48B37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5</w:t>
            </w:r>
          </w:p>
        </w:tc>
      </w:tr>
      <w:tr w:rsidR="006E073F" w:rsidRPr="006E073F" w14:paraId="0C850CBC" w14:textId="77777777" w:rsidTr="004D402D">
        <w:trPr>
          <w:trHeight w:val="139"/>
        </w:trPr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C0B2D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Pohotovostní hmotnost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9903FF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Celkem</w:t>
            </w: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3B221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974E4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kg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A3D58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1620-1680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43C26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1590-1680</w:t>
            </w:r>
          </w:p>
        </w:tc>
      </w:tr>
      <w:tr w:rsidR="006E073F" w:rsidRPr="006E073F" w14:paraId="1A011725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4647AF" w14:textId="77777777" w:rsidR="006E073F" w:rsidRPr="006E073F" w:rsidRDefault="006E073F" w:rsidP="004D402D">
            <w:pPr>
              <w:autoSpaceDE w:val="0"/>
              <w:autoSpaceDN w:val="0"/>
              <w:adjustRightInd w:val="0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Celková hmotnost vozidla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38F80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906DF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D6E6B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kg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5D8904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2130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5E416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2125</w:t>
            </w:r>
          </w:p>
        </w:tc>
      </w:tr>
      <w:tr w:rsidR="006E073F" w:rsidRPr="006E073F" w14:paraId="3723F6EE" w14:textId="77777777" w:rsidTr="004D402D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1956C" w14:textId="77777777" w:rsidR="006E073F" w:rsidRPr="006E073F" w:rsidRDefault="006E073F" w:rsidP="004D402D">
            <w:pPr>
              <w:autoSpaceDE w:val="0"/>
              <w:autoSpaceDN w:val="0"/>
              <w:adjustRightInd w:val="0"/>
              <w:rPr>
                <w:rFonts w:ascii="NobelCE Lt" w:hAnsi="NobelCE Lt"/>
                <w:color w:val="000000"/>
                <w:sz w:val="20"/>
                <w:vertAlign w:val="superscript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Objem zavazadlového prostoru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2E25C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6D13F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A3090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litry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9E0A6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450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2592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480</w:t>
            </w:r>
          </w:p>
        </w:tc>
      </w:tr>
      <w:tr w:rsidR="006E073F" w:rsidRPr="006E073F" w14:paraId="62AB19B7" w14:textId="77777777" w:rsidTr="004D402D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C4CB4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Součinitel aerodynamického odporu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B7FD5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Minimum</w:t>
            </w: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7F17F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4C780B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A22E2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0,25 (eco) / 0,26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D2163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0,28</w:t>
            </w:r>
          </w:p>
        </w:tc>
      </w:tr>
      <w:tr w:rsidR="006E073F" w:rsidRPr="006E073F" w14:paraId="762A4F85" w14:textId="77777777" w:rsidTr="004D402D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906643C" w14:textId="77777777" w:rsidR="006E073F" w:rsidRPr="006E073F" w:rsidRDefault="006E073F" w:rsidP="004D402D">
            <w:pPr>
              <w:autoSpaceDE w:val="0"/>
              <w:autoSpaceDN w:val="0"/>
              <w:adjustRightInd w:val="0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Nejvyšší hmotnost přívěsu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5403B1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Brzděného</w:t>
            </w: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27033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B45C5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kg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46F7A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750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96B1A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1500</w:t>
            </w:r>
          </w:p>
        </w:tc>
      </w:tr>
      <w:tr w:rsidR="006E073F" w:rsidRPr="006E073F" w14:paraId="4D4BDA36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39AB4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6BEC40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Nebrzděného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5334F4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kg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236F7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750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775D8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750</w:t>
            </w:r>
          </w:p>
        </w:tc>
      </w:tr>
      <w:tr w:rsidR="006E073F" w:rsidRPr="006E073F" w14:paraId="2BFA4B7E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FF1F1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Objem palivové nádrže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5958A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Objem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ABC71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012920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litry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388F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66</w:t>
            </w:r>
          </w:p>
        </w:tc>
      </w:tr>
      <w:tr w:rsidR="006E073F" w:rsidRPr="006E073F" w14:paraId="7F3C1DD1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C2ED9A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C60639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48DA3B40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71FEF8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F34C96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471EAF6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</w:p>
        </w:tc>
      </w:tr>
      <w:tr w:rsidR="006E073F" w:rsidRPr="006E073F" w14:paraId="3B125555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050D07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75B251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7EAB1A2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0518385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D36558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IS 300h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787BA914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IS 200t</w:t>
            </w:r>
          </w:p>
        </w:tc>
      </w:tr>
      <w:tr w:rsidR="006E073F" w:rsidRPr="006E073F" w14:paraId="1429C0F1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49607B7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Motor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156D590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1EFE12E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1426FC5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36AB245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5E9EFBA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</w:p>
        </w:tc>
      </w:tr>
      <w:tr w:rsidR="006E073F" w:rsidRPr="006E073F" w14:paraId="6D09AACE" w14:textId="77777777" w:rsidTr="004D402D">
        <w:trPr>
          <w:trHeight w:val="139"/>
        </w:trPr>
        <w:tc>
          <w:tcPr>
            <w:tcW w:w="469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20DB8DA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Počet válců a uspořádání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D6310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23F94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4 válce, v řadě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1F6F9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4 válce, v řadě</w:t>
            </w:r>
          </w:p>
        </w:tc>
      </w:tr>
      <w:tr w:rsidR="006E073F" w:rsidRPr="006E073F" w14:paraId="683B95FD" w14:textId="77777777" w:rsidTr="004D402D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6EA99B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Ventilové ústrojí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171B0F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75B650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DFE6D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6ABE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DOHC 16v se systémem Dual VVT-i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D9DC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DOHC 16v se systémem Dual VVT-i</w:t>
            </w:r>
          </w:p>
        </w:tc>
      </w:tr>
      <w:tr w:rsidR="006E073F" w:rsidRPr="006E073F" w14:paraId="3786A21D" w14:textId="77777777" w:rsidTr="004D402D">
        <w:trPr>
          <w:trHeight w:val="53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50F606E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Zdvihový objem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743BE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2B51F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F4D91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cm³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38DEB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2494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C59F8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1998</w:t>
            </w:r>
          </w:p>
        </w:tc>
      </w:tr>
      <w:tr w:rsidR="006E073F" w:rsidRPr="006E073F" w14:paraId="36CDC067" w14:textId="77777777" w:rsidTr="004D402D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3060DB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Emisní norma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494E3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4A964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741D20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E2DB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 xml:space="preserve">Euro 6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7C9E3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Euro 6</w:t>
            </w:r>
          </w:p>
        </w:tc>
      </w:tr>
      <w:tr w:rsidR="006E073F" w:rsidRPr="006E073F" w14:paraId="15686B4A" w14:textId="77777777" w:rsidTr="004D402D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E5AF9E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Typ paliva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31B52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FFC01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79C05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D3F4F0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Benzín, okt. číslo nejm. 95</w:t>
            </w:r>
          </w:p>
        </w:tc>
      </w:tr>
      <w:tr w:rsidR="006E073F" w:rsidRPr="006E073F" w14:paraId="3408E451" w14:textId="77777777" w:rsidTr="004D402D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1E8B00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Max. výkon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B5D49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EEC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A94260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 xml:space="preserve">kW při ot/min </w:t>
            </w:r>
          </w:p>
          <w:p w14:paraId="10644C7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(k při ot/min)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576B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133/6000 (181/6000)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3871B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180/5800 (245/6000)</w:t>
            </w:r>
            <w:r w:rsidR="00C36A6F">
              <w:rPr>
                <w:rStyle w:val="Znakapoznpodarou"/>
                <w:rFonts w:ascii="NobelCE Lt" w:hAnsi="NobelCE Lt"/>
                <w:color w:val="000000"/>
                <w:sz w:val="20"/>
              </w:rPr>
              <w:footnoteReference w:id="2"/>
            </w:r>
          </w:p>
        </w:tc>
      </w:tr>
      <w:tr w:rsidR="006E073F" w:rsidRPr="006E073F" w14:paraId="61FE4D6D" w14:textId="77777777" w:rsidTr="004D402D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2BB9A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Max. točivý moment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C7E781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EEC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D2C3B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Nm při ot/min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AAC20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221/4200-5400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E381F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350@1650-4400</w:t>
            </w:r>
          </w:p>
        </w:tc>
      </w:tr>
    </w:tbl>
    <w:p w14:paraId="73ED474E" w14:textId="77777777" w:rsidR="006E073F" w:rsidRPr="006E073F" w:rsidRDefault="006E073F" w:rsidP="006E073F">
      <w:pPr>
        <w:jc w:val="both"/>
        <w:rPr>
          <w:rFonts w:ascii="NobelCE Lt" w:hAnsi="NobelCE Lt"/>
        </w:rPr>
      </w:pPr>
    </w:p>
    <w:tbl>
      <w:tblPr>
        <w:tblW w:w="930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098"/>
        <w:gridCol w:w="1476"/>
        <w:gridCol w:w="1125"/>
        <w:gridCol w:w="718"/>
        <w:gridCol w:w="34"/>
        <w:gridCol w:w="1771"/>
        <w:gridCol w:w="123"/>
        <w:gridCol w:w="1835"/>
        <w:gridCol w:w="123"/>
      </w:tblGrid>
      <w:tr w:rsidR="006E073F" w:rsidRPr="006E073F" w14:paraId="188997F8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0D56D1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6C667E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48D592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DA1B1CF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F5C7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IS 300h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FA39D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18"/>
              </w:rPr>
            </w:pPr>
          </w:p>
        </w:tc>
      </w:tr>
      <w:tr w:rsidR="006E073F" w:rsidRPr="006E073F" w14:paraId="527F5535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7197B4AC" w14:textId="77777777" w:rsidR="006E073F" w:rsidRPr="006E073F" w:rsidRDefault="006E073F" w:rsidP="004D402D">
            <w:pPr>
              <w:autoSpaceDE w:val="0"/>
              <w:autoSpaceDN w:val="0"/>
              <w:adjustRightInd w:val="0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Systém hybridního pohonu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63FB116F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31D8BF5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63315BA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7795D07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6C1570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18"/>
              </w:rPr>
            </w:pPr>
          </w:p>
        </w:tc>
      </w:tr>
      <w:tr w:rsidR="006E073F" w:rsidRPr="006E073F" w14:paraId="7FCBA1B3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F4C531" w14:textId="77777777" w:rsidR="006E073F" w:rsidRPr="006E073F" w:rsidRDefault="006E073F" w:rsidP="004D402D">
            <w:pPr>
              <w:autoSpaceDE w:val="0"/>
              <w:autoSpaceDN w:val="0"/>
              <w:adjustRightInd w:val="0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Elektromotor / generátor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E3DDB1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Typ elektromotoru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609F52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0F2BD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S permanentním magnetem</w:t>
            </w:r>
          </w:p>
          <w:p w14:paraId="0C12B4C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Synchronní motor (1KM)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AEC51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18"/>
              </w:rPr>
            </w:pPr>
          </w:p>
        </w:tc>
      </w:tr>
      <w:tr w:rsidR="006E073F" w:rsidRPr="006E073F" w14:paraId="4F12477D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073F8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B1CB5F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Max. napětí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77CDC9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V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27078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650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58F094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18"/>
              </w:rPr>
            </w:pPr>
          </w:p>
        </w:tc>
      </w:tr>
      <w:tr w:rsidR="006E073F" w:rsidRPr="006E073F" w14:paraId="06816700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4D6B9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424556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Max. výkon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0ECD49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kW (k)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8A56B7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105 (143)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18ABBF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18"/>
              </w:rPr>
            </w:pPr>
          </w:p>
        </w:tc>
      </w:tr>
      <w:tr w:rsidR="006E073F" w:rsidRPr="006E073F" w14:paraId="00DD999F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92FB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188223F" w14:textId="77777777" w:rsidR="006E073F" w:rsidRPr="006E073F" w:rsidRDefault="006E073F" w:rsidP="004D402D">
            <w:pPr>
              <w:autoSpaceDE w:val="0"/>
              <w:autoSpaceDN w:val="0"/>
              <w:adjustRightInd w:val="0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Max. točivý moment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96AF8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D8329F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Nm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AC55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300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10A02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18"/>
              </w:rPr>
            </w:pPr>
          </w:p>
        </w:tc>
      </w:tr>
      <w:tr w:rsidR="006E073F" w:rsidRPr="006E073F" w14:paraId="279AB4F1" w14:textId="77777777" w:rsidTr="004D402D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5B0FE0" w14:textId="77777777" w:rsidR="006E073F" w:rsidRPr="006E073F" w:rsidRDefault="006E073F" w:rsidP="004D402D">
            <w:pPr>
              <w:autoSpaceDE w:val="0"/>
              <w:autoSpaceDN w:val="0"/>
              <w:adjustRightInd w:val="0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Baterie hybridního pohonu</w:t>
            </w:r>
          </w:p>
        </w:tc>
        <w:tc>
          <w:tcPr>
            <w:tcW w:w="26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07CD72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Typ akumulátoru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0578D4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D38B8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NiMH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9D60E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18"/>
              </w:rPr>
            </w:pPr>
          </w:p>
        </w:tc>
      </w:tr>
      <w:tr w:rsidR="006E073F" w:rsidRPr="006E073F" w14:paraId="31F32A8F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1C382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6A3D9C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Jmenovité napětí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6E6B9C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V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71E54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230,4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74BFE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18"/>
              </w:rPr>
            </w:pPr>
          </w:p>
        </w:tc>
      </w:tr>
      <w:tr w:rsidR="006E073F" w:rsidRPr="006E073F" w14:paraId="266569B1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B46C6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CB00EC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Počet bateriových článků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32B95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FCED10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192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1F49F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18"/>
              </w:rPr>
            </w:pPr>
          </w:p>
        </w:tc>
      </w:tr>
      <w:tr w:rsidR="006E073F" w:rsidRPr="006E073F" w14:paraId="065D972E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4606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644071F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Napětí soustavy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D1FBB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V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271F4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650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CA424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18"/>
              </w:rPr>
            </w:pPr>
          </w:p>
        </w:tc>
      </w:tr>
      <w:tr w:rsidR="006E073F" w:rsidRPr="006E073F" w14:paraId="6806B597" w14:textId="77777777" w:rsidTr="004D402D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D7D14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CELKOVÝ SYSTÉMOVÝ VÝKON</w:t>
            </w:r>
          </w:p>
        </w:tc>
        <w:tc>
          <w:tcPr>
            <w:tcW w:w="3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4390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kW (k)</w:t>
            </w:r>
          </w:p>
        </w:tc>
        <w:tc>
          <w:tcPr>
            <w:tcW w:w="1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7D072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164 (223)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87564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18"/>
              </w:rPr>
            </w:pPr>
          </w:p>
        </w:tc>
      </w:tr>
      <w:tr w:rsidR="006E073F" w:rsidRPr="006E073F" w14:paraId="6B4D5C52" w14:textId="77777777" w:rsidTr="004D402D">
        <w:trPr>
          <w:trHeight w:val="139"/>
        </w:trPr>
        <w:tc>
          <w:tcPr>
            <w:tcW w:w="93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71581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</w:tr>
      <w:tr w:rsidR="006E073F" w:rsidRPr="006E073F" w14:paraId="7252FE81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1DB9A3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0B732E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F2981D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667FE5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4F73F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DE2D0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18"/>
              </w:rPr>
            </w:pPr>
          </w:p>
        </w:tc>
      </w:tr>
      <w:tr w:rsidR="006E073F" w:rsidRPr="006E073F" w14:paraId="2B181AE4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4FA9CD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D60A9D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05FA78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0AB598F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7A98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IS 300h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F6D1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18"/>
              </w:rPr>
            </w:pPr>
            <w:r w:rsidRPr="006E073F">
              <w:rPr>
                <w:rFonts w:ascii="NobelCE Lt" w:hAnsi="NobelCE Lt"/>
                <w:b/>
                <w:color w:val="000000"/>
                <w:sz w:val="18"/>
              </w:rPr>
              <w:t>IS 200t</w:t>
            </w:r>
          </w:p>
        </w:tc>
      </w:tr>
      <w:tr w:rsidR="006E073F" w:rsidRPr="006E073F" w14:paraId="03619C35" w14:textId="77777777" w:rsidTr="004D402D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56CC5E04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Jízdní výkony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793F9A5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1810E21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5ABF123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6F2B34E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6799691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18"/>
              </w:rPr>
            </w:pPr>
          </w:p>
        </w:tc>
      </w:tr>
      <w:tr w:rsidR="006E073F" w:rsidRPr="006E073F" w14:paraId="1B029E5F" w14:textId="77777777" w:rsidTr="004D402D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2B2529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  <w:vertAlign w:val="superscript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Nejvyšší rychlost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E17C460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0D555F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4FBC5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km/h</w:t>
            </w:r>
          </w:p>
        </w:tc>
        <w:tc>
          <w:tcPr>
            <w:tcW w:w="19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F87C9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200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D08EC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18"/>
              </w:rPr>
            </w:pPr>
            <w:r w:rsidRPr="006E073F">
              <w:rPr>
                <w:rFonts w:ascii="NobelCE Lt" w:hAnsi="NobelCE Lt"/>
                <w:color w:val="000000"/>
                <w:sz w:val="18"/>
              </w:rPr>
              <w:t>230</w:t>
            </w:r>
          </w:p>
        </w:tc>
      </w:tr>
      <w:tr w:rsidR="006E073F" w:rsidRPr="006E073F" w14:paraId="3A3AAC7B" w14:textId="77777777" w:rsidTr="004D402D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E8264D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  <w:vertAlign w:val="superscript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Zrychlení</w:t>
            </w:r>
            <w:r w:rsidR="00C36A6F">
              <w:rPr>
                <w:rStyle w:val="Znakapoznpodarou"/>
                <w:rFonts w:ascii="NobelCE Lt" w:hAnsi="NobelCE Lt"/>
                <w:color w:val="000000"/>
                <w:sz w:val="20"/>
              </w:rPr>
              <w:footnoteReference w:id="3"/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DEBFDF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 xml:space="preserve">0 - 100 km/h 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A7399C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s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DEC02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8,3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7F85B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18"/>
              </w:rPr>
            </w:pPr>
            <w:r w:rsidRPr="006E073F">
              <w:rPr>
                <w:rFonts w:ascii="NobelCE Lt" w:hAnsi="NobelCE Lt"/>
                <w:color w:val="000000"/>
                <w:sz w:val="18"/>
              </w:rPr>
              <w:t>7,0</w:t>
            </w:r>
          </w:p>
        </w:tc>
      </w:tr>
      <w:tr w:rsidR="006E073F" w:rsidRPr="006E073F" w14:paraId="771A547A" w14:textId="77777777" w:rsidTr="004D402D">
        <w:trPr>
          <w:trHeight w:val="139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7B81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55DEFD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2FC61E3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2C0A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4E2B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</w:p>
        </w:tc>
      </w:tr>
      <w:tr w:rsidR="006E073F" w:rsidRPr="006E073F" w14:paraId="286D122D" w14:textId="77777777" w:rsidTr="00264B3E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827CFE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A5F5C8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76DAD2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9035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A220DC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IS 300h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757B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IS 200t</w:t>
            </w:r>
          </w:p>
        </w:tc>
      </w:tr>
      <w:tr w:rsidR="006E073F" w:rsidRPr="006E073F" w14:paraId="41F4385D" w14:textId="77777777" w:rsidTr="00264B3E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7B5F042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Podvozek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072EB0F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2547F67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14:paraId="54C7A51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0A1596D0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79475E2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</w:p>
        </w:tc>
      </w:tr>
      <w:tr w:rsidR="006E073F" w:rsidRPr="006E073F" w14:paraId="616CEED5" w14:textId="77777777" w:rsidTr="00264B3E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23302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 xml:space="preserve">Převodovka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DFB6FB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Typ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1F9524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6AB1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6D57E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E-CVT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D249F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Automatická</w:t>
            </w:r>
          </w:p>
        </w:tc>
      </w:tr>
      <w:tr w:rsidR="006E073F" w:rsidRPr="006E073F" w14:paraId="551669A5" w14:textId="77777777" w:rsidTr="00264B3E">
        <w:trPr>
          <w:gridAfter w:val="1"/>
          <w:wAfter w:w="123" w:type="dxa"/>
          <w:trHeight w:val="13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B135A9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Poháněná náprava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880ED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1EADB40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E068A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Pohon zadních kol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1BAF0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Pohon zadních kol</w:t>
            </w:r>
          </w:p>
        </w:tc>
      </w:tr>
      <w:tr w:rsidR="006E073F" w:rsidRPr="006E073F" w14:paraId="02A7F07D" w14:textId="77777777" w:rsidTr="00264B3E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7DFD16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Typ brzd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7257C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Vpředu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9E5FE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D32A3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076A7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Kotoučové s odvětráváním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8BC23F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Kotoučové s odvětráváním</w:t>
            </w:r>
          </w:p>
        </w:tc>
      </w:tr>
      <w:tr w:rsidR="006E073F" w:rsidRPr="006E073F" w14:paraId="2EC30F90" w14:textId="77777777" w:rsidTr="00264B3E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199C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35C4EF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Vzadu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6D0DA9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FB86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328C4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Kotoučové s odvětráváním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3B79F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Kotoučové s odvětráváním</w:t>
            </w:r>
          </w:p>
        </w:tc>
      </w:tr>
      <w:tr w:rsidR="006E073F" w:rsidRPr="006E073F" w14:paraId="7E520A02" w14:textId="77777777" w:rsidTr="00264B3E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0C38D37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Otáček volantu mezi krajními polohami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145E8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7A6D8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C7C46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C69BC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2,841</w:t>
            </w:r>
          </w:p>
        </w:tc>
      </w:tr>
      <w:tr w:rsidR="006E073F" w:rsidRPr="006E073F" w14:paraId="53CBBD86" w14:textId="77777777" w:rsidTr="00264B3E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C56F93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Min. poloměr otáčení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A2C06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Stopový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BC86C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88AC20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m</w:t>
            </w: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42628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5,2</w:t>
            </w:r>
          </w:p>
        </w:tc>
      </w:tr>
      <w:tr w:rsidR="006E073F" w:rsidRPr="006E073F" w14:paraId="74C8DA58" w14:textId="77777777" w:rsidTr="00264B3E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A3292B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133A34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50B3C4D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50C39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182ADA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D2D1F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</w:p>
        </w:tc>
      </w:tr>
      <w:tr w:rsidR="006E073F" w:rsidRPr="006E073F" w14:paraId="7288D1B6" w14:textId="77777777" w:rsidTr="00264B3E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86D6B3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8B7D40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F4D2A3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86F2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strike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1ACB40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IS 300h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29B34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IS 200t</w:t>
            </w:r>
          </w:p>
        </w:tc>
      </w:tr>
      <w:tr w:rsidR="006E073F" w:rsidRPr="006E073F" w14:paraId="7E94FF61" w14:textId="77777777" w:rsidTr="00264B3E">
        <w:trPr>
          <w:gridAfter w:val="1"/>
          <w:wAfter w:w="123" w:type="dxa"/>
          <w:trHeight w:val="139"/>
        </w:trPr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/>
          </w:tcPr>
          <w:p w14:paraId="05E21953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  <w:r w:rsidRPr="006E073F">
              <w:rPr>
                <w:rFonts w:ascii="NobelCE Lt" w:hAnsi="NobelCE Lt"/>
                <w:b/>
                <w:color w:val="000000"/>
                <w:sz w:val="20"/>
              </w:rPr>
              <w:t>Spotřeba paliva a emise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/>
          </w:tcPr>
          <w:p w14:paraId="4DF22F56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/>
          </w:tcPr>
          <w:p w14:paraId="5F0EDA3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/>
          </w:tcPr>
          <w:p w14:paraId="57D595D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/>
          </w:tcPr>
          <w:p w14:paraId="37E2459A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color w:val="000000"/>
                <w:sz w:val="20"/>
              </w:rPr>
            </w:pPr>
          </w:p>
        </w:tc>
      </w:tr>
      <w:tr w:rsidR="006E073F" w:rsidRPr="006E073F" w14:paraId="07B7E9DA" w14:textId="77777777" w:rsidTr="00264B3E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51635A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Spotřeba paliva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154CF7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Kombinovaná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C367EE4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right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l/100 km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1AEBE88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Od 4,3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D028BE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Od 7,0</w:t>
            </w:r>
          </w:p>
        </w:tc>
      </w:tr>
      <w:tr w:rsidR="006E073F" w:rsidRPr="006E073F" w14:paraId="2B632D76" w14:textId="77777777" w:rsidTr="00264B3E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93082B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Emise CO</w:t>
            </w:r>
            <w:r w:rsidRPr="006E073F">
              <w:rPr>
                <w:rFonts w:ascii="NobelCE Lt" w:hAnsi="NobelCE Lt"/>
                <w:color w:val="000000"/>
                <w:sz w:val="20"/>
                <w:vertAlign w:val="subscript"/>
              </w:rPr>
              <w:t>2</w:t>
            </w:r>
            <w:r w:rsidRPr="006E073F">
              <w:rPr>
                <w:rFonts w:ascii="NobelCE Lt" w:hAnsi="NobelCE Lt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4AD2765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Kombinované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1CD3C5C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917A2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both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g</w:t>
            </w:r>
            <w:r w:rsidR="00C36A6F">
              <w:rPr>
                <w:rFonts w:ascii="NobelCE Lt" w:hAnsi="NobelCE Lt"/>
                <w:color w:val="000000"/>
                <w:sz w:val="20"/>
              </w:rPr>
              <w:t>/k</w:t>
            </w:r>
            <w:r w:rsidRPr="006E073F">
              <w:rPr>
                <w:rFonts w:ascii="NobelCE Lt" w:hAnsi="NobelCE Lt"/>
                <w:color w:val="000000"/>
                <w:sz w:val="20"/>
              </w:rPr>
              <w:t>m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06FC42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Od 97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859A1" w14:textId="77777777" w:rsidR="006E073F" w:rsidRPr="006E073F" w:rsidRDefault="006E073F" w:rsidP="004D402D">
            <w:pPr>
              <w:autoSpaceDE w:val="0"/>
              <w:autoSpaceDN w:val="0"/>
              <w:adjustRightInd w:val="0"/>
              <w:jc w:val="center"/>
              <w:rPr>
                <w:rFonts w:ascii="NobelCE Lt" w:hAnsi="NobelCE Lt"/>
                <w:color w:val="000000"/>
                <w:sz w:val="20"/>
              </w:rPr>
            </w:pPr>
            <w:r w:rsidRPr="006E073F">
              <w:rPr>
                <w:rFonts w:ascii="NobelCE Lt" w:hAnsi="NobelCE Lt"/>
                <w:color w:val="000000"/>
                <w:sz w:val="20"/>
              </w:rPr>
              <w:t>Od 162</w:t>
            </w:r>
          </w:p>
        </w:tc>
      </w:tr>
    </w:tbl>
    <w:p w14:paraId="16D3D5A5" w14:textId="77777777" w:rsidR="006E073F" w:rsidRPr="006E073F" w:rsidRDefault="006E073F" w:rsidP="006E073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NobelCE Lt" w:hAnsi="NobelCE Lt"/>
          <w:color w:val="000000"/>
          <w:spacing w:val="-2"/>
          <w:sz w:val="20"/>
        </w:rPr>
      </w:pPr>
    </w:p>
    <w:p w14:paraId="57B7E33F" w14:textId="77777777" w:rsidR="006E073F" w:rsidRPr="006E073F" w:rsidRDefault="006E073F" w:rsidP="006E073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NobelCE Lt" w:hAnsi="NobelCE Lt"/>
          <w:color w:val="000000"/>
          <w:spacing w:val="-2"/>
          <w:sz w:val="20"/>
        </w:rPr>
      </w:pPr>
    </w:p>
    <w:p w14:paraId="4495CC97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41D69B7D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6117F40F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6EFAC1A2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24E34A0E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3E9CCBA2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203CE9CF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5BE26983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17F6B317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6E412D6E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5578B804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13385064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7270C51F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6B472A53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242F99EE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513108F7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6131CCD6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4E8C172A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6F6195E6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0DC08B20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2EA5F3C3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2F854EF7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28332C61" w14:textId="77777777" w:rsidR="00264B3E" w:rsidRPr="00264B3E" w:rsidRDefault="00264B3E" w:rsidP="00264B3E">
      <w:pPr>
        <w:jc w:val="center"/>
        <w:rPr>
          <w:rFonts w:ascii="NobelCE Lt" w:hAnsi="NobelCE Lt"/>
          <w:b/>
          <w:color w:val="000000"/>
          <w:sz w:val="40"/>
        </w:rPr>
      </w:pPr>
      <w:r w:rsidRPr="00264B3E">
        <w:rPr>
          <w:rFonts w:ascii="NobelCE Lt" w:hAnsi="NobelCE Lt"/>
          <w:b/>
          <w:color w:val="000000"/>
          <w:sz w:val="40"/>
        </w:rPr>
        <w:lastRenderedPageBreak/>
        <w:t xml:space="preserve">MODEL LEXUS NX SE BUDE NABÍZET I V PROVEDENÍ SPORT </w:t>
      </w:r>
    </w:p>
    <w:p w14:paraId="4E3A4620" w14:textId="77777777" w:rsidR="00264B3E" w:rsidRPr="00264B3E" w:rsidRDefault="00264B3E" w:rsidP="00264B3E">
      <w:pPr>
        <w:jc w:val="center"/>
        <w:rPr>
          <w:rFonts w:ascii="NobelCE Lt" w:hAnsi="NobelCE Lt"/>
          <w:b/>
          <w:color w:val="000000"/>
          <w:sz w:val="32"/>
        </w:rPr>
      </w:pPr>
    </w:p>
    <w:p w14:paraId="2CA11F01" w14:textId="77777777" w:rsidR="00264B3E" w:rsidRPr="00264B3E" w:rsidRDefault="00264B3E" w:rsidP="00264B3E">
      <w:pPr>
        <w:numPr>
          <w:ilvl w:val="0"/>
          <w:numId w:val="22"/>
        </w:numPr>
        <w:rPr>
          <w:rFonts w:ascii="NobelCE Lt" w:hAnsi="NobelCE Lt"/>
          <w:b/>
          <w:color w:val="000000"/>
        </w:rPr>
      </w:pPr>
      <w:r w:rsidRPr="00264B3E">
        <w:rPr>
          <w:rFonts w:ascii="NobelCE Lt" w:hAnsi="NobelCE Lt"/>
          <w:b/>
          <w:color w:val="000000"/>
        </w:rPr>
        <w:t>Třetí Lexus v provedení Sport rozšiřuje řady modelů CT a IS Sport</w:t>
      </w:r>
    </w:p>
    <w:p w14:paraId="3C2F39FD" w14:textId="77777777" w:rsidR="00264B3E" w:rsidRPr="00264B3E" w:rsidRDefault="00264B3E" w:rsidP="00264B3E">
      <w:pPr>
        <w:numPr>
          <w:ilvl w:val="0"/>
          <w:numId w:val="22"/>
        </w:numPr>
        <w:rPr>
          <w:rFonts w:ascii="NobelCE Lt" w:hAnsi="NobelCE Lt"/>
          <w:b/>
          <w:color w:val="000000"/>
        </w:rPr>
      </w:pPr>
      <w:r w:rsidRPr="00264B3E">
        <w:rPr>
          <w:rFonts w:ascii="NobelCE Lt" w:hAnsi="NobelCE Lt"/>
          <w:b/>
          <w:color w:val="000000"/>
        </w:rPr>
        <w:t>Specifické designové prvky podtrhující sportovní charakter NX</w:t>
      </w:r>
    </w:p>
    <w:p w14:paraId="7AD06377" w14:textId="77777777" w:rsidR="00264B3E" w:rsidRPr="00264B3E" w:rsidRDefault="00264B3E" w:rsidP="00264B3E">
      <w:pPr>
        <w:numPr>
          <w:ilvl w:val="0"/>
          <w:numId w:val="22"/>
        </w:numPr>
        <w:rPr>
          <w:rFonts w:ascii="NobelCE Lt" w:hAnsi="NobelCE Lt"/>
          <w:b/>
          <w:color w:val="000000"/>
        </w:rPr>
      </w:pPr>
      <w:r w:rsidRPr="00264B3E">
        <w:rPr>
          <w:rFonts w:ascii="NobelCE Lt" w:hAnsi="NobelCE Lt"/>
          <w:b/>
          <w:color w:val="000000"/>
        </w:rPr>
        <w:t>NX Sport se na evropských trzích bude nabízet od října 2016</w:t>
      </w:r>
    </w:p>
    <w:p w14:paraId="2784D427" w14:textId="77777777" w:rsidR="00264B3E" w:rsidRPr="00264B3E" w:rsidRDefault="00264B3E" w:rsidP="00264B3E">
      <w:pPr>
        <w:rPr>
          <w:rFonts w:ascii="NobelCE Lt" w:hAnsi="NobelCE Lt"/>
        </w:rPr>
      </w:pPr>
    </w:p>
    <w:p w14:paraId="2DCBA2D4" w14:textId="77777777" w:rsidR="00264B3E" w:rsidRDefault="00264B3E" w:rsidP="00264B3E">
      <w:pPr>
        <w:rPr>
          <w:rFonts w:ascii="NobelCE Lt" w:hAnsi="NobelCE Lt"/>
        </w:rPr>
      </w:pPr>
      <w:r w:rsidRPr="00264B3E">
        <w:rPr>
          <w:rFonts w:ascii="NobelCE Lt" w:hAnsi="NobelCE Lt"/>
        </w:rPr>
        <w:t xml:space="preserve">V návaznosti na úspěch modelů Lexus CT a IS v provedení Sport se bude tento výbavový paket nabízet i pro středně velký crossover Lexus NX. </w:t>
      </w:r>
    </w:p>
    <w:p w14:paraId="78325D81" w14:textId="77777777" w:rsidR="00264B3E" w:rsidRPr="00264B3E" w:rsidRDefault="00264B3E" w:rsidP="00264B3E">
      <w:pPr>
        <w:rPr>
          <w:rFonts w:ascii="NobelCE Lt" w:hAnsi="NobelCE Lt"/>
        </w:rPr>
      </w:pPr>
    </w:p>
    <w:p w14:paraId="3F3A0A6F" w14:textId="77777777" w:rsidR="00264B3E" w:rsidRDefault="00264B3E" w:rsidP="00264B3E">
      <w:pPr>
        <w:rPr>
          <w:rFonts w:ascii="NobelCE Lt" w:hAnsi="NobelCE Lt"/>
        </w:rPr>
      </w:pPr>
      <w:r w:rsidRPr="00264B3E">
        <w:rPr>
          <w:rFonts w:ascii="NobelCE Lt" w:hAnsi="NobelCE Lt"/>
        </w:rPr>
        <w:t>Specifické provedení Sport, určené pro modely NX 300h a NX 200t, zahrnuje exkluzivní designové prvky pro exteriér i interiér vozidla. Ve stupni výbavy F SPORT se přidávají ještě prvky k vylepšení dynamiky a agresivnější</w:t>
      </w:r>
      <w:r>
        <w:rPr>
          <w:rFonts w:ascii="NobelCE Lt" w:hAnsi="NobelCE Lt"/>
        </w:rPr>
        <w:t>ho</w:t>
      </w:r>
      <w:r w:rsidRPr="00264B3E">
        <w:rPr>
          <w:rFonts w:ascii="NobelCE Lt" w:hAnsi="NobelCE Lt"/>
        </w:rPr>
        <w:t xml:space="preserve"> stylistické</w:t>
      </w:r>
      <w:r>
        <w:rPr>
          <w:rFonts w:ascii="NobelCE Lt" w:hAnsi="NobelCE Lt"/>
        </w:rPr>
        <w:t>ho</w:t>
      </w:r>
      <w:r w:rsidRPr="00264B3E">
        <w:rPr>
          <w:rFonts w:ascii="NobelCE Lt" w:hAnsi="NobelCE Lt"/>
        </w:rPr>
        <w:t xml:space="preserve"> ztvárnění. </w:t>
      </w:r>
    </w:p>
    <w:p w14:paraId="30AF25CF" w14:textId="77777777" w:rsidR="00264B3E" w:rsidRPr="00264B3E" w:rsidRDefault="00264B3E" w:rsidP="00264B3E">
      <w:pPr>
        <w:rPr>
          <w:rFonts w:ascii="NobelCE Lt" w:hAnsi="NobelCE Lt"/>
        </w:rPr>
      </w:pPr>
    </w:p>
    <w:p w14:paraId="4A4A35BD" w14:textId="77777777" w:rsidR="00264B3E" w:rsidRDefault="00264B3E" w:rsidP="00264B3E">
      <w:pPr>
        <w:rPr>
          <w:rFonts w:ascii="NobelCE Lt" w:hAnsi="NobelCE Lt"/>
        </w:rPr>
      </w:pPr>
      <w:r w:rsidRPr="00264B3E">
        <w:rPr>
          <w:rFonts w:ascii="NobelCE Lt" w:hAnsi="NobelCE Lt"/>
        </w:rPr>
        <w:t xml:space="preserve">NX Sport nabízí černá 18" kola z hliníkové slitiny, vnější zpětná zrcátka s černými kryty a černou povrchovou úpravu vřetenovité masky chladiče, včetně orámování. </w:t>
      </w:r>
    </w:p>
    <w:p w14:paraId="1BFC6EB3" w14:textId="77777777" w:rsidR="00264B3E" w:rsidRPr="00264B3E" w:rsidRDefault="00264B3E" w:rsidP="00264B3E">
      <w:pPr>
        <w:rPr>
          <w:rFonts w:ascii="NobelCE Lt" w:hAnsi="NobelCE Lt"/>
        </w:rPr>
      </w:pPr>
    </w:p>
    <w:p w14:paraId="3E2F971A" w14:textId="77777777" w:rsidR="00264B3E" w:rsidRDefault="00264B3E" w:rsidP="00264B3E">
      <w:pPr>
        <w:rPr>
          <w:rFonts w:ascii="NobelCE Lt" w:hAnsi="NobelCE Lt"/>
        </w:rPr>
      </w:pPr>
      <w:r w:rsidRPr="00264B3E">
        <w:rPr>
          <w:rFonts w:ascii="NobelCE Lt" w:hAnsi="NobelCE Lt"/>
        </w:rPr>
        <w:t xml:space="preserve">Interiér NX Sport pak nabízí specifické čalounění sedadel z látky nebo umělé kůže, v obou případech v barevné kombinaci černé a purpurově-červené se stříbrnými panely. </w:t>
      </w:r>
    </w:p>
    <w:p w14:paraId="42C4A4A0" w14:textId="77777777" w:rsidR="00264B3E" w:rsidRPr="00264B3E" w:rsidRDefault="00264B3E" w:rsidP="00264B3E">
      <w:pPr>
        <w:rPr>
          <w:rFonts w:ascii="NobelCE Lt" w:hAnsi="NobelCE Lt"/>
        </w:rPr>
      </w:pPr>
    </w:p>
    <w:p w14:paraId="0CEC6259" w14:textId="77777777" w:rsidR="00264B3E" w:rsidRDefault="00264B3E" w:rsidP="00264B3E">
      <w:pPr>
        <w:rPr>
          <w:rFonts w:ascii="NobelCE Lt" w:hAnsi="NobelCE Lt"/>
        </w:rPr>
      </w:pPr>
      <w:r w:rsidRPr="00264B3E">
        <w:rPr>
          <w:rFonts w:ascii="NobelCE Lt" w:hAnsi="NobelCE Lt"/>
        </w:rPr>
        <w:t xml:space="preserve">Smyslem provedení Sport ve spojení s výbavou Business a Comfort je zvýšit dostupnost sportovně koncipovaných designových doplňků NX.  </w:t>
      </w:r>
    </w:p>
    <w:p w14:paraId="6385AA1A" w14:textId="77777777" w:rsidR="00264B3E" w:rsidRPr="00264B3E" w:rsidRDefault="00264B3E" w:rsidP="00264B3E">
      <w:pPr>
        <w:rPr>
          <w:rFonts w:ascii="NobelCE Lt" w:hAnsi="NobelCE Lt"/>
        </w:rPr>
      </w:pPr>
    </w:p>
    <w:p w14:paraId="19DB8303" w14:textId="77777777" w:rsidR="00264B3E" w:rsidRPr="00264B3E" w:rsidRDefault="00264B3E" w:rsidP="00264B3E">
      <w:pPr>
        <w:rPr>
          <w:rFonts w:ascii="NobelCE Lt" w:hAnsi="NobelCE Lt"/>
        </w:rPr>
      </w:pPr>
      <w:r w:rsidRPr="00264B3E">
        <w:rPr>
          <w:rFonts w:ascii="NobelCE Lt" w:hAnsi="NobelCE Lt"/>
        </w:rPr>
        <w:t>Lexus NX v provedení Sport se bude na většině evropských trhů nabízet od října 2016.</w:t>
      </w:r>
    </w:p>
    <w:p w14:paraId="153DBC38" w14:textId="77777777" w:rsidR="00264B3E" w:rsidRDefault="00264B3E" w:rsidP="00264B3E">
      <w:pPr>
        <w:jc w:val="center"/>
        <w:rPr>
          <w:rFonts w:ascii="Nobel-Bold" w:hAnsi="Nobel-Bold"/>
          <w:b/>
          <w:color w:val="000000"/>
          <w:sz w:val="32"/>
        </w:rPr>
      </w:pPr>
    </w:p>
    <w:p w14:paraId="7C6A77AC" w14:textId="77777777" w:rsidR="006E073F" w:rsidRPr="006E073F" w:rsidRDefault="006E073F" w:rsidP="006E073F">
      <w:pPr>
        <w:rPr>
          <w:rFonts w:ascii="NobelCE Lt" w:hAnsi="NobelCE Lt"/>
          <w:sz w:val="20"/>
        </w:rPr>
      </w:pPr>
    </w:p>
    <w:sectPr w:rsidR="006E073F" w:rsidRPr="006E073F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F3B0F" w14:textId="77777777" w:rsidR="00F005AE" w:rsidRDefault="00F005AE" w:rsidP="00C83BEC">
      <w:r>
        <w:separator/>
      </w:r>
    </w:p>
  </w:endnote>
  <w:endnote w:type="continuationSeparator" w:id="0">
    <w:p w14:paraId="6BC4DDB1" w14:textId="77777777" w:rsidR="00F005AE" w:rsidRDefault="00F005AE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CE Bk">
    <w:altName w:val="Corbel"/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CE Lt">
    <w:altName w:val="Corbel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C8042" w14:textId="77777777" w:rsidR="00F005AE" w:rsidRDefault="00F005AE" w:rsidP="00C83BEC">
      <w:r>
        <w:separator/>
      </w:r>
    </w:p>
  </w:footnote>
  <w:footnote w:type="continuationSeparator" w:id="0">
    <w:p w14:paraId="49D689B2" w14:textId="77777777" w:rsidR="00F005AE" w:rsidRDefault="00F005AE" w:rsidP="00C83BEC">
      <w:r>
        <w:continuationSeparator/>
      </w:r>
    </w:p>
  </w:footnote>
  <w:footnote w:id="1">
    <w:p w14:paraId="4D0C28D4" w14:textId="77777777" w:rsidR="004D402D" w:rsidRPr="00CD05B1" w:rsidRDefault="004D402D">
      <w:pPr>
        <w:pStyle w:val="Textpoznpodarou"/>
        <w:rPr>
          <w:lang w:val="cs-CZ"/>
        </w:rPr>
      </w:pPr>
      <w:r w:rsidRPr="006E073F">
        <w:rPr>
          <w:rStyle w:val="Znakapoznpodarou"/>
          <w:rFonts w:ascii="NobelCE Lt" w:hAnsi="NobelCE Lt"/>
        </w:rPr>
        <w:footnoteRef/>
      </w:r>
      <w:r>
        <w:t xml:space="preserve"> </w:t>
      </w:r>
      <w:r w:rsidRPr="00CD05B1">
        <w:rPr>
          <w:rFonts w:ascii="NobelCE Lt" w:hAnsi="NobelCE Lt"/>
          <w:lang w:val="cs-CZ"/>
        </w:rPr>
        <w:t>Materiál QMONOS</w:t>
      </w:r>
      <w:r w:rsidRPr="00CD05B1">
        <w:rPr>
          <w:rFonts w:ascii="NobelCE Lt" w:hAnsi="NobelCE Lt"/>
          <w:vertAlign w:val="superscript"/>
          <w:lang w:val="cs-CZ"/>
        </w:rPr>
        <w:t>TM</w:t>
      </w:r>
      <w:r w:rsidRPr="00CD05B1">
        <w:rPr>
          <w:rFonts w:ascii="NobelCE Lt" w:hAnsi="NobelCE Lt"/>
          <w:lang w:val="cs-CZ"/>
        </w:rPr>
        <w:t xml:space="preserve"> vyvinutý společností Spiber Inc.</w:t>
      </w:r>
    </w:p>
  </w:footnote>
  <w:footnote w:id="2">
    <w:p w14:paraId="6687280D" w14:textId="77777777" w:rsidR="004D402D" w:rsidRPr="00C36A6F" w:rsidRDefault="004D402D" w:rsidP="00C36A6F">
      <w:pPr>
        <w:pStyle w:val="Textpoznpodarou"/>
        <w:spacing w:after="0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36A6F">
        <w:rPr>
          <w:rFonts w:ascii="NobelCE Lt" w:hAnsi="NobelCE Lt"/>
          <w:color w:val="000000"/>
          <w:lang w:val="cs-CZ"/>
        </w:rPr>
        <w:t>Společný celkový výkon zážehového motoru a elektromotoru (s využitím akumulátoru) (interní měření)</w:t>
      </w:r>
    </w:p>
  </w:footnote>
  <w:footnote w:id="3">
    <w:p w14:paraId="6A186F29" w14:textId="77777777" w:rsidR="004D402D" w:rsidRPr="00C36A6F" w:rsidRDefault="004D402D" w:rsidP="00C36A6F">
      <w:pPr>
        <w:pStyle w:val="Textpoznpodarou"/>
        <w:spacing w:after="0"/>
        <w:rPr>
          <w:lang w:val="cs-CZ"/>
        </w:rPr>
      </w:pPr>
      <w:r w:rsidRPr="00C36A6F">
        <w:rPr>
          <w:rStyle w:val="Znakapoznpodarou"/>
          <w:lang w:val="cs-CZ"/>
        </w:rPr>
        <w:footnoteRef/>
      </w:r>
      <w:r w:rsidRPr="00C36A6F">
        <w:rPr>
          <w:lang w:val="cs-CZ"/>
        </w:rPr>
        <w:t xml:space="preserve"> </w:t>
      </w:r>
      <w:r w:rsidRPr="00C36A6F">
        <w:rPr>
          <w:rFonts w:ascii="NobelCE Lt" w:hAnsi="NobelCE Lt"/>
          <w:color w:val="000000"/>
          <w:lang w:val="cs-CZ"/>
        </w:rPr>
        <w:t>Vlastní měření Toyota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0C64"/>
    <w:multiLevelType w:val="hybridMultilevel"/>
    <w:tmpl w:val="B03E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94039"/>
    <w:multiLevelType w:val="hybridMultilevel"/>
    <w:tmpl w:val="FC5E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62ABE"/>
    <w:multiLevelType w:val="hybridMultilevel"/>
    <w:tmpl w:val="E30AA338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4A9324AF"/>
    <w:multiLevelType w:val="hybridMultilevel"/>
    <w:tmpl w:val="1D8A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167AD"/>
    <w:multiLevelType w:val="hybridMultilevel"/>
    <w:tmpl w:val="39E2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526CF"/>
    <w:multiLevelType w:val="hybridMultilevel"/>
    <w:tmpl w:val="27EC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4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13"/>
  </w:num>
  <w:num w:numId="10">
    <w:abstractNumId w:val="5"/>
  </w:num>
  <w:num w:numId="11">
    <w:abstractNumId w:val="20"/>
  </w:num>
  <w:num w:numId="12">
    <w:abstractNumId w:val="18"/>
  </w:num>
  <w:num w:numId="13">
    <w:abstractNumId w:val="19"/>
  </w:num>
  <w:num w:numId="14">
    <w:abstractNumId w:val="10"/>
  </w:num>
  <w:num w:numId="15">
    <w:abstractNumId w:val="18"/>
  </w:num>
  <w:num w:numId="16">
    <w:abstractNumId w:val="15"/>
  </w:num>
  <w:num w:numId="17">
    <w:abstractNumId w:val="12"/>
  </w:num>
  <w:num w:numId="18">
    <w:abstractNumId w:val="6"/>
  </w:num>
  <w:num w:numId="19">
    <w:abstractNumId w:val="17"/>
  </w:num>
  <w:num w:numId="20">
    <w:abstractNumId w:val="16"/>
  </w:num>
  <w:num w:numId="21">
    <w:abstractNumId w:val="11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37E48"/>
    <w:rsid w:val="00040EF8"/>
    <w:rsid w:val="000412C1"/>
    <w:rsid w:val="000416BB"/>
    <w:rsid w:val="00042228"/>
    <w:rsid w:val="00043B99"/>
    <w:rsid w:val="00044422"/>
    <w:rsid w:val="00044996"/>
    <w:rsid w:val="00044CBA"/>
    <w:rsid w:val="00047E72"/>
    <w:rsid w:val="00050462"/>
    <w:rsid w:val="000536AA"/>
    <w:rsid w:val="00057278"/>
    <w:rsid w:val="00063043"/>
    <w:rsid w:val="000635BD"/>
    <w:rsid w:val="00065AB3"/>
    <w:rsid w:val="00066C20"/>
    <w:rsid w:val="00067AA7"/>
    <w:rsid w:val="0007407B"/>
    <w:rsid w:val="00082874"/>
    <w:rsid w:val="000867C5"/>
    <w:rsid w:val="00086B4A"/>
    <w:rsid w:val="00086FBB"/>
    <w:rsid w:val="0009022F"/>
    <w:rsid w:val="00093761"/>
    <w:rsid w:val="000946C9"/>
    <w:rsid w:val="000953F5"/>
    <w:rsid w:val="000959B1"/>
    <w:rsid w:val="000A1AEA"/>
    <w:rsid w:val="000A2148"/>
    <w:rsid w:val="000A3CEB"/>
    <w:rsid w:val="000B55AA"/>
    <w:rsid w:val="000B59B0"/>
    <w:rsid w:val="000C07EB"/>
    <w:rsid w:val="000C136A"/>
    <w:rsid w:val="000C2EAD"/>
    <w:rsid w:val="000C424C"/>
    <w:rsid w:val="000C4819"/>
    <w:rsid w:val="000C4A78"/>
    <w:rsid w:val="000D0669"/>
    <w:rsid w:val="000D1140"/>
    <w:rsid w:val="000D35CA"/>
    <w:rsid w:val="000D3E8E"/>
    <w:rsid w:val="000D55D0"/>
    <w:rsid w:val="000E335B"/>
    <w:rsid w:val="000E37CB"/>
    <w:rsid w:val="000E4504"/>
    <w:rsid w:val="000E7A48"/>
    <w:rsid w:val="000F196E"/>
    <w:rsid w:val="000F7B0D"/>
    <w:rsid w:val="000F7BD1"/>
    <w:rsid w:val="00101EFC"/>
    <w:rsid w:val="00103768"/>
    <w:rsid w:val="00104C69"/>
    <w:rsid w:val="001056BA"/>
    <w:rsid w:val="00106147"/>
    <w:rsid w:val="001104C5"/>
    <w:rsid w:val="001107DF"/>
    <w:rsid w:val="00111F32"/>
    <w:rsid w:val="0011473E"/>
    <w:rsid w:val="00114B5B"/>
    <w:rsid w:val="00115D4E"/>
    <w:rsid w:val="001166AD"/>
    <w:rsid w:val="00117B20"/>
    <w:rsid w:val="00117DD0"/>
    <w:rsid w:val="00117F11"/>
    <w:rsid w:val="00124495"/>
    <w:rsid w:val="001246A8"/>
    <w:rsid w:val="00126236"/>
    <w:rsid w:val="001353A3"/>
    <w:rsid w:val="00143148"/>
    <w:rsid w:val="0014570E"/>
    <w:rsid w:val="0015345B"/>
    <w:rsid w:val="00155926"/>
    <w:rsid w:val="0015691A"/>
    <w:rsid w:val="00157CD2"/>
    <w:rsid w:val="001644CD"/>
    <w:rsid w:val="0016640B"/>
    <w:rsid w:val="00166B2B"/>
    <w:rsid w:val="001679F5"/>
    <w:rsid w:val="00170B4E"/>
    <w:rsid w:val="00172CB9"/>
    <w:rsid w:val="00172E8D"/>
    <w:rsid w:val="001803CA"/>
    <w:rsid w:val="00181D82"/>
    <w:rsid w:val="00183973"/>
    <w:rsid w:val="00183DA0"/>
    <w:rsid w:val="00192682"/>
    <w:rsid w:val="00193C43"/>
    <w:rsid w:val="001951B2"/>
    <w:rsid w:val="00197531"/>
    <w:rsid w:val="00197D8A"/>
    <w:rsid w:val="001A2D7C"/>
    <w:rsid w:val="001A423C"/>
    <w:rsid w:val="001A78DC"/>
    <w:rsid w:val="001B137D"/>
    <w:rsid w:val="001B19E4"/>
    <w:rsid w:val="001B40DF"/>
    <w:rsid w:val="001B4D0B"/>
    <w:rsid w:val="001B5D26"/>
    <w:rsid w:val="001C083C"/>
    <w:rsid w:val="001C1723"/>
    <w:rsid w:val="001C1A5C"/>
    <w:rsid w:val="001C1FEC"/>
    <w:rsid w:val="001C6ECB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22E2"/>
    <w:rsid w:val="001E24DD"/>
    <w:rsid w:val="001E54E1"/>
    <w:rsid w:val="001E7DC0"/>
    <w:rsid w:val="001F0D71"/>
    <w:rsid w:val="001F6BBF"/>
    <w:rsid w:val="0020034E"/>
    <w:rsid w:val="00202D6A"/>
    <w:rsid w:val="00207DBF"/>
    <w:rsid w:val="002152B5"/>
    <w:rsid w:val="0021531A"/>
    <w:rsid w:val="00215372"/>
    <w:rsid w:val="0021585D"/>
    <w:rsid w:val="00215A84"/>
    <w:rsid w:val="00216EA5"/>
    <w:rsid w:val="0022560D"/>
    <w:rsid w:val="0023111D"/>
    <w:rsid w:val="00231AAC"/>
    <w:rsid w:val="00233176"/>
    <w:rsid w:val="00240B9D"/>
    <w:rsid w:val="002417D1"/>
    <w:rsid w:val="00242D91"/>
    <w:rsid w:val="00246BE2"/>
    <w:rsid w:val="00252F6E"/>
    <w:rsid w:val="00253468"/>
    <w:rsid w:val="00253A16"/>
    <w:rsid w:val="0025667C"/>
    <w:rsid w:val="00261B64"/>
    <w:rsid w:val="00261FBA"/>
    <w:rsid w:val="00262534"/>
    <w:rsid w:val="002640B8"/>
    <w:rsid w:val="00264406"/>
    <w:rsid w:val="00264B3E"/>
    <w:rsid w:val="00272C44"/>
    <w:rsid w:val="002732CB"/>
    <w:rsid w:val="002733AA"/>
    <w:rsid w:val="00283D91"/>
    <w:rsid w:val="00283FDB"/>
    <w:rsid w:val="00284D98"/>
    <w:rsid w:val="00286988"/>
    <w:rsid w:val="00294676"/>
    <w:rsid w:val="0029692F"/>
    <w:rsid w:val="00296940"/>
    <w:rsid w:val="002A3571"/>
    <w:rsid w:val="002A41E6"/>
    <w:rsid w:val="002A4E4C"/>
    <w:rsid w:val="002A56E6"/>
    <w:rsid w:val="002A6723"/>
    <w:rsid w:val="002B07CC"/>
    <w:rsid w:val="002B1175"/>
    <w:rsid w:val="002B6EB3"/>
    <w:rsid w:val="002C43BE"/>
    <w:rsid w:val="002C442C"/>
    <w:rsid w:val="002C4546"/>
    <w:rsid w:val="002C4730"/>
    <w:rsid w:val="002C4AA3"/>
    <w:rsid w:val="002C673A"/>
    <w:rsid w:val="002C6AD2"/>
    <w:rsid w:val="002C7450"/>
    <w:rsid w:val="002D071B"/>
    <w:rsid w:val="002D0D5D"/>
    <w:rsid w:val="002D3335"/>
    <w:rsid w:val="002D6F8C"/>
    <w:rsid w:val="002E1CCC"/>
    <w:rsid w:val="002E1E66"/>
    <w:rsid w:val="002E56C4"/>
    <w:rsid w:val="002F2463"/>
    <w:rsid w:val="002F68C9"/>
    <w:rsid w:val="002F7B1F"/>
    <w:rsid w:val="002F7EC9"/>
    <w:rsid w:val="003013DC"/>
    <w:rsid w:val="00301CB0"/>
    <w:rsid w:val="0030382E"/>
    <w:rsid w:val="003104C8"/>
    <w:rsid w:val="0031278B"/>
    <w:rsid w:val="003153D4"/>
    <w:rsid w:val="003212AE"/>
    <w:rsid w:val="00321979"/>
    <w:rsid w:val="0032567C"/>
    <w:rsid w:val="00326D80"/>
    <w:rsid w:val="00327577"/>
    <w:rsid w:val="003315A5"/>
    <w:rsid w:val="003319E7"/>
    <w:rsid w:val="00335C45"/>
    <w:rsid w:val="00335E19"/>
    <w:rsid w:val="00337812"/>
    <w:rsid w:val="00337911"/>
    <w:rsid w:val="003407DA"/>
    <w:rsid w:val="0034151C"/>
    <w:rsid w:val="0034580F"/>
    <w:rsid w:val="0034612F"/>
    <w:rsid w:val="00346A88"/>
    <w:rsid w:val="00346EE4"/>
    <w:rsid w:val="00350744"/>
    <w:rsid w:val="00354677"/>
    <w:rsid w:val="00355969"/>
    <w:rsid w:val="00356D23"/>
    <w:rsid w:val="00360E51"/>
    <w:rsid w:val="00365E88"/>
    <w:rsid w:val="00366E5B"/>
    <w:rsid w:val="003706F8"/>
    <w:rsid w:val="00370B25"/>
    <w:rsid w:val="003748A3"/>
    <w:rsid w:val="00376AA9"/>
    <w:rsid w:val="003775A0"/>
    <w:rsid w:val="00381C1E"/>
    <w:rsid w:val="00382593"/>
    <w:rsid w:val="0038414C"/>
    <w:rsid w:val="0039047E"/>
    <w:rsid w:val="00391341"/>
    <w:rsid w:val="00395870"/>
    <w:rsid w:val="00395A33"/>
    <w:rsid w:val="00396F24"/>
    <w:rsid w:val="00397238"/>
    <w:rsid w:val="003A3C2B"/>
    <w:rsid w:val="003A47B9"/>
    <w:rsid w:val="003A506C"/>
    <w:rsid w:val="003A640E"/>
    <w:rsid w:val="003A67CA"/>
    <w:rsid w:val="003B0342"/>
    <w:rsid w:val="003B0F92"/>
    <w:rsid w:val="003B1C07"/>
    <w:rsid w:val="003B22F9"/>
    <w:rsid w:val="003B286A"/>
    <w:rsid w:val="003C500B"/>
    <w:rsid w:val="003C6233"/>
    <w:rsid w:val="003C6E88"/>
    <w:rsid w:val="003D4BD7"/>
    <w:rsid w:val="003D75D2"/>
    <w:rsid w:val="003E4C61"/>
    <w:rsid w:val="003E52A9"/>
    <w:rsid w:val="003E6BC8"/>
    <w:rsid w:val="003E72FB"/>
    <w:rsid w:val="003F2275"/>
    <w:rsid w:val="00405B0C"/>
    <w:rsid w:val="00405D23"/>
    <w:rsid w:val="0041103B"/>
    <w:rsid w:val="004117C2"/>
    <w:rsid w:val="00413A84"/>
    <w:rsid w:val="004221EC"/>
    <w:rsid w:val="00425811"/>
    <w:rsid w:val="00427CDD"/>
    <w:rsid w:val="004306C5"/>
    <w:rsid w:val="004308C8"/>
    <w:rsid w:val="00430BE1"/>
    <w:rsid w:val="00433511"/>
    <w:rsid w:val="00436644"/>
    <w:rsid w:val="0044110D"/>
    <w:rsid w:val="00441F81"/>
    <w:rsid w:val="004441D3"/>
    <w:rsid w:val="00444B52"/>
    <w:rsid w:val="0044514D"/>
    <w:rsid w:val="004532B6"/>
    <w:rsid w:val="00454B65"/>
    <w:rsid w:val="00455B55"/>
    <w:rsid w:val="00460E7C"/>
    <w:rsid w:val="00466856"/>
    <w:rsid w:val="00471CCD"/>
    <w:rsid w:val="00477005"/>
    <w:rsid w:val="00480A53"/>
    <w:rsid w:val="0048103A"/>
    <w:rsid w:val="00483709"/>
    <w:rsid w:val="00485C58"/>
    <w:rsid w:val="004878C1"/>
    <w:rsid w:val="00487ECD"/>
    <w:rsid w:val="00497486"/>
    <w:rsid w:val="004978C1"/>
    <w:rsid w:val="004A0EC7"/>
    <w:rsid w:val="004A0F14"/>
    <w:rsid w:val="004A2E9A"/>
    <w:rsid w:val="004B2E3B"/>
    <w:rsid w:val="004B4CF4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402D"/>
    <w:rsid w:val="004D79B1"/>
    <w:rsid w:val="004E0B4E"/>
    <w:rsid w:val="004E3C75"/>
    <w:rsid w:val="004F360E"/>
    <w:rsid w:val="004F4E88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5E9D"/>
    <w:rsid w:val="005372DF"/>
    <w:rsid w:val="00540E6C"/>
    <w:rsid w:val="00546D5B"/>
    <w:rsid w:val="00551A96"/>
    <w:rsid w:val="00553520"/>
    <w:rsid w:val="0056176A"/>
    <w:rsid w:val="00561B4B"/>
    <w:rsid w:val="00564534"/>
    <w:rsid w:val="00564DDF"/>
    <w:rsid w:val="005711CD"/>
    <w:rsid w:val="00573EEF"/>
    <w:rsid w:val="0057508D"/>
    <w:rsid w:val="0057509E"/>
    <w:rsid w:val="00577933"/>
    <w:rsid w:val="00585A86"/>
    <w:rsid w:val="005933BD"/>
    <w:rsid w:val="005A05DD"/>
    <w:rsid w:val="005A4253"/>
    <w:rsid w:val="005A4EBD"/>
    <w:rsid w:val="005A7852"/>
    <w:rsid w:val="005B1643"/>
    <w:rsid w:val="005B172A"/>
    <w:rsid w:val="005B3198"/>
    <w:rsid w:val="005B3CB2"/>
    <w:rsid w:val="005B6C39"/>
    <w:rsid w:val="005C0CED"/>
    <w:rsid w:val="005C2EDE"/>
    <w:rsid w:val="005C3649"/>
    <w:rsid w:val="005D2A33"/>
    <w:rsid w:val="005D4CAC"/>
    <w:rsid w:val="005E695F"/>
    <w:rsid w:val="005F0209"/>
    <w:rsid w:val="005F2238"/>
    <w:rsid w:val="005F2F57"/>
    <w:rsid w:val="005F4E7C"/>
    <w:rsid w:val="005F5EA1"/>
    <w:rsid w:val="005F6A2E"/>
    <w:rsid w:val="006011F1"/>
    <w:rsid w:val="0060182D"/>
    <w:rsid w:val="00601A3E"/>
    <w:rsid w:val="0060393A"/>
    <w:rsid w:val="00610E0B"/>
    <w:rsid w:val="00617038"/>
    <w:rsid w:val="00617B3A"/>
    <w:rsid w:val="006206B3"/>
    <w:rsid w:val="00621670"/>
    <w:rsid w:val="00624273"/>
    <w:rsid w:val="006336B4"/>
    <w:rsid w:val="006346C0"/>
    <w:rsid w:val="00635A09"/>
    <w:rsid w:val="00635DCA"/>
    <w:rsid w:val="00636E4B"/>
    <w:rsid w:val="006403B8"/>
    <w:rsid w:val="00641387"/>
    <w:rsid w:val="00644F3A"/>
    <w:rsid w:val="006465F6"/>
    <w:rsid w:val="006509FC"/>
    <w:rsid w:val="00652F9E"/>
    <w:rsid w:val="00654A17"/>
    <w:rsid w:val="00655C87"/>
    <w:rsid w:val="006575CC"/>
    <w:rsid w:val="0066487A"/>
    <w:rsid w:val="0066558C"/>
    <w:rsid w:val="00672226"/>
    <w:rsid w:val="00673ABA"/>
    <w:rsid w:val="006753CD"/>
    <w:rsid w:val="00675D9C"/>
    <w:rsid w:val="00681D55"/>
    <w:rsid w:val="00681EFB"/>
    <w:rsid w:val="00683255"/>
    <w:rsid w:val="006832AC"/>
    <w:rsid w:val="00685917"/>
    <w:rsid w:val="006923E4"/>
    <w:rsid w:val="0069377B"/>
    <w:rsid w:val="006968F1"/>
    <w:rsid w:val="00696F7D"/>
    <w:rsid w:val="006A11A0"/>
    <w:rsid w:val="006A223B"/>
    <w:rsid w:val="006A4195"/>
    <w:rsid w:val="006A57A7"/>
    <w:rsid w:val="006A5C2E"/>
    <w:rsid w:val="006A5EAF"/>
    <w:rsid w:val="006B0037"/>
    <w:rsid w:val="006B03F5"/>
    <w:rsid w:val="006B1ADB"/>
    <w:rsid w:val="006B1E80"/>
    <w:rsid w:val="006B2719"/>
    <w:rsid w:val="006B7601"/>
    <w:rsid w:val="006C7145"/>
    <w:rsid w:val="006C792F"/>
    <w:rsid w:val="006C7941"/>
    <w:rsid w:val="006D091D"/>
    <w:rsid w:val="006D0F3C"/>
    <w:rsid w:val="006D2532"/>
    <w:rsid w:val="006D51A5"/>
    <w:rsid w:val="006D627F"/>
    <w:rsid w:val="006D6E85"/>
    <w:rsid w:val="006E073F"/>
    <w:rsid w:val="006E3BB3"/>
    <w:rsid w:val="006E3C91"/>
    <w:rsid w:val="006E512B"/>
    <w:rsid w:val="006E5329"/>
    <w:rsid w:val="006F03CB"/>
    <w:rsid w:val="006F1931"/>
    <w:rsid w:val="006F244A"/>
    <w:rsid w:val="006F3DD6"/>
    <w:rsid w:val="006F6BB9"/>
    <w:rsid w:val="00702092"/>
    <w:rsid w:val="00710D5B"/>
    <w:rsid w:val="007122AE"/>
    <w:rsid w:val="007257EF"/>
    <w:rsid w:val="00726F23"/>
    <w:rsid w:val="007300B9"/>
    <w:rsid w:val="007305BD"/>
    <w:rsid w:val="00731F8C"/>
    <w:rsid w:val="007325AD"/>
    <w:rsid w:val="007369C5"/>
    <w:rsid w:val="00740E69"/>
    <w:rsid w:val="00745C0D"/>
    <w:rsid w:val="00752663"/>
    <w:rsid w:val="00752780"/>
    <w:rsid w:val="00752B98"/>
    <w:rsid w:val="00753082"/>
    <w:rsid w:val="0075368F"/>
    <w:rsid w:val="00763796"/>
    <w:rsid w:val="00763FB7"/>
    <w:rsid w:val="00765AA9"/>
    <w:rsid w:val="00771D97"/>
    <w:rsid w:val="007728D5"/>
    <w:rsid w:val="00773E33"/>
    <w:rsid w:val="007811E8"/>
    <w:rsid w:val="00781AA3"/>
    <w:rsid w:val="00782792"/>
    <w:rsid w:val="0078436E"/>
    <w:rsid w:val="00784749"/>
    <w:rsid w:val="00785BE2"/>
    <w:rsid w:val="00793C12"/>
    <w:rsid w:val="00794A82"/>
    <w:rsid w:val="007957B8"/>
    <w:rsid w:val="007A1E52"/>
    <w:rsid w:val="007A59A5"/>
    <w:rsid w:val="007A7AFE"/>
    <w:rsid w:val="007B7206"/>
    <w:rsid w:val="007C3296"/>
    <w:rsid w:val="007D0E5C"/>
    <w:rsid w:val="007D1F3B"/>
    <w:rsid w:val="007D4CAF"/>
    <w:rsid w:val="007D4E76"/>
    <w:rsid w:val="007D643F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804324"/>
    <w:rsid w:val="008074D4"/>
    <w:rsid w:val="008100E4"/>
    <w:rsid w:val="0081024E"/>
    <w:rsid w:val="00811D9F"/>
    <w:rsid w:val="0081234A"/>
    <w:rsid w:val="00814BFA"/>
    <w:rsid w:val="00814FB2"/>
    <w:rsid w:val="00817633"/>
    <w:rsid w:val="00817645"/>
    <w:rsid w:val="008213A1"/>
    <w:rsid w:val="00824215"/>
    <w:rsid w:val="00826A68"/>
    <w:rsid w:val="008329F4"/>
    <w:rsid w:val="0083363B"/>
    <w:rsid w:val="00835CC3"/>
    <w:rsid w:val="00842F38"/>
    <w:rsid w:val="00845F76"/>
    <w:rsid w:val="008473B6"/>
    <w:rsid w:val="008476A3"/>
    <w:rsid w:val="008500B1"/>
    <w:rsid w:val="00850A99"/>
    <w:rsid w:val="008516C5"/>
    <w:rsid w:val="00856F88"/>
    <w:rsid w:val="0085773E"/>
    <w:rsid w:val="00860E1F"/>
    <w:rsid w:val="00863AA1"/>
    <w:rsid w:val="008644CE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A0F76"/>
    <w:rsid w:val="008A2B72"/>
    <w:rsid w:val="008A442B"/>
    <w:rsid w:val="008A56B3"/>
    <w:rsid w:val="008A59F5"/>
    <w:rsid w:val="008B1D96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772E"/>
    <w:rsid w:val="008D1A7D"/>
    <w:rsid w:val="008D1E4D"/>
    <w:rsid w:val="008D205F"/>
    <w:rsid w:val="008D2DF6"/>
    <w:rsid w:val="008D5DA4"/>
    <w:rsid w:val="008D793C"/>
    <w:rsid w:val="008E324A"/>
    <w:rsid w:val="008E3517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3DAC"/>
    <w:rsid w:val="009503EB"/>
    <w:rsid w:val="0095547F"/>
    <w:rsid w:val="00955F52"/>
    <w:rsid w:val="00955FBD"/>
    <w:rsid w:val="00956331"/>
    <w:rsid w:val="009576D9"/>
    <w:rsid w:val="00961389"/>
    <w:rsid w:val="00962DC3"/>
    <w:rsid w:val="00963ADB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030"/>
    <w:rsid w:val="009A57EE"/>
    <w:rsid w:val="009A6464"/>
    <w:rsid w:val="009A7F4E"/>
    <w:rsid w:val="009B0F7E"/>
    <w:rsid w:val="009B1344"/>
    <w:rsid w:val="009B71BB"/>
    <w:rsid w:val="009C27DB"/>
    <w:rsid w:val="009C6ADB"/>
    <w:rsid w:val="009D43E3"/>
    <w:rsid w:val="009D5397"/>
    <w:rsid w:val="009D7A70"/>
    <w:rsid w:val="009E430F"/>
    <w:rsid w:val="009E4503"/>
    <w:rsid w:val="009E5344"/>
    <w:rsid w:val="009E5C30"/>
    <w:rsid w:val="009E7EF1"/>
    <w:rsid w:val="009F4663"/>
    <w:rsid w:val="00A03BF0"/>
    <w:rsid w:val="00A05009"/>
    <w:rsid w:val="00A05FEC"/>
    <w:rsid w:val="00A0705A"/>
    <w:rsid w:val="00A111EE"/>
    <w:rsid w:val="00A13CD5"/>
    <w:rsid w:val="00A241E6"/>
    <w:rsid w:val="00A26ED7"/>
    <w:rsid w:val="00A30464"/>
    <w:rsid w:val="00A31938"/>
    <w:rsid w:val="00A43822"/>
    <w:rsid w:val="00A45A3D"/>
    <w:rsid w:val="00A47BEF"/>
    <w:rsid w:val="00A47D64"/>
    <w:rsid w:val="00A51D2E"/>
    <w:rsid w:val="00A5776E"/>
    <w:rsid w:val="00A60780"/>
    <w:rsid w:val="00A60A62"/>
    <w:rsid w:val="00A60A90"/>
    <w:rsid w:val="00A61587"/>
    <w:rsid w:val="00A668E1"/>
    <w:rsid w:val="00A71BA8"/>
    <w:rsid w:val="00A73CF9"/>
    <w:rsid w:val="00A76B01"/>
    <w:rsid w:val="00A776C2"/>
    <w:rsid w:val="00A77F0B"/>
    <w:rsid w:val="00A8212A"/>
    <w:rsid w:val="00A84B23"/>
    <w:rsid w:val="00A87E4E"/>
    <w:rsid w:val="00A91826"/>
    <w:rsid w:val="00A9297F"/>
    <w:rsid w:val="00A9415B"/>
    <w:rsid w:val="00A94FE8"/>
    <w:rsid w:val="00AA0EA5"/>
    <w:rsid w:val="00AA2A47"/>
    <w:rsid w:val="00AA3DF3"/>
    <w:rsid w:val="00AA60B3"/>
    <w:rsid w:val="00AA746C"/>
    <w:rsid w:val="00AB0DB1"/>
    <w:rsid w:val="00AB110C"/>
    <w:rsid w:val="00AB436D"/>
    <w:rsid w:val="00AC352A"/>
    <w:rsid w:val="00AC3B86"/>
    <w:rsid w:val="00AC4965"/>
    <w:rsid w:val="00AC4D19"/>
    <w:rsid w:val="00AD259F"/>
    <w:rsid w:val="00AD43AC"/>
    <w:rsid w:val="00AD541F"/>
    <w:rsid w:val="00AD699B"/>
    <w:rsid w:val="00AD723D"/>
    <w:rsid w:val="00AE006C"/>
    <w:rsid w:val="00AE76DD"/>
    <w:rsid w:val="00AF2324"/>
    <w:rsid w:val="00AF2A3D"/>
    <w:rsid w:val="00AF3331"/>
    <w:rsid w:val="00AF333C"/>
    <w:rsid w:val="00AF79EE"/>
    <w:rsid w:val="00B02DEC"/>
    <w:rsid w:val="00B06344"/>
    <w:rsid w:val="00B11786"/>
    <w:rsid w:val="00B11EC9"/>
    <w:rsid w:val="00B1525E"/>
    <w:rsid w:val="00B17B7E"/>
    <w:rsid w:val="00B21357"/>
    <w:rsid w:val="00B224A1"/>
    <w:rsid w:val="00B23728"/>
    <w:rsid w:val="00B27E35"/>
    <w:rsid w:val="00B30522"/>
    <w:rsid w:val="00B306B1"/>
    <w:rsid w:val="00B34E83"/>
    <w:rsid w:val="00B35F7B"/>
    <w:rsid w:val="00B36055"/>
    <w:rsid w:val="00B403AF"/>
    <w:rsid w:val="00B4061C"/>
    <w:rsid w:val="00B4089F"/>
    <w:rsid w:val="00B415F6"/>
    <w:rsid w:val="00B41BD3"/>
    <w:rsid w:val="00B43DC3"/>
    <w:rsid w:val="00B43E8B"/>
    <w:rsid w:val="00B44288"/>
    <w:rsid w:val="00B45191"/>
    <w:rsid w:val="00B46176"/>
    <w:rsid w:val="00B461BC"/>
    <w:rsid w:val="00B47291"/>
    <w:rsid w:val="00B52BB5"/>
    <w:rsid w:val="00B52DB9"/>
    <w:rsid w:val="00B536C3"/>
    <w:rsid w:val="00B7197B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71B8"/>
    <w:rsid w:val="00BB2563"/>
    <w:rsid w:val="00BB4C83"/>
    <w:rsid w:val="00BC4EBD"/>
    <w:rsid w:val="00BC5E09"/>
    <w:rsid w:val="00BD207F"/>
    <w:rsid w:val="00BD2E1D"/>
    <w:rsid w:val="00BD37D8"/>
    <w:rsid w:val="00BD53A4"/>
    <w:rsid w:val="00BD7975"/>
    <w:rsid w:val="00BE215D"/>
    <w:rsid w:val="00BE3B09"/>
    <w:rsid w:val="00BE59B3"/>
    <w:rsid w:val="00BF128B"/>
    <w:rsid w:val="00BF3EA1"/>
    <w:rsid w:val="00BF4AEF"/>
    <w:rsid w:val="00BF5485"/>
    <w:rsid w:val="00BF7029"/>
    <w:rsid w:val="00C001B2"/>
    <w:rsid w:val="00C053E8"/>
    <w:rsid w:val="00C05796"/>
    <w:rsid w:val="00C07D82"/>
    <w:rsid w:val="00C10249"/>
    <w:rsid w:val="00C10C0D"/>
    <w:rsid w:val="00C13315"/>
    <w:rsid w:val="00C17518"/>
    <w:rsid w:val="00C20DD0"/>
    <w:rsid w:val="00C319FD"/>
    <w:rsid w:val="00C33B28"/>
    <w:rsid w:val="00C36A6F"/>
    <w:rsid w:val="00C40223"/>
    <w:rsid w:val="00C41B37"/>
    <w:rsid w:val="00C41DCB"/>
    <w:rsid w:val="00C42E80"/>
    <w:rsid w:val="00C430AF"/>
    <w:rsid w:val="00C513DC"/>
    <w:rsid w:val="00C5218E"/>
    <w:rsid w:val="00C522A4"/>
    <w:rsid w:val="00C538FD"/>
    <w:rsid w:val="00C53DC0"/>
    <w:rsid w:val="00C55B9E"/>
    <w:rsid w:val="00C56228"/>
    <w:rsid w:val="00C60FE4"/>
    <w:rsid w:val="00C6154C"/>
    <w:rsid w:val="00C61A18"/>
    <w:rsid w:val="00C62A08"/>
    <w:rsid w:val="00C63853"/>
    <w:rsid w:val="00C66E93"/>
    <w:rsid w:val="00C6703E"/>
    <w:rsid w:val="00C678B5"/>
    <w:rsid w:val="00C71EB9"/>
    <w:rsid w:val="00C722AF"/>
    <w:rsid w:val="00C72B8A"/>
    <w:rsid w:val="00C73064"/>
    <w:rsid w:val="00C734D7"/>
    <w:rsid w:val="00C73824"/>
    <w:rsid w:val="00C7475E"/>
    <w:rsid w:val="00C7483D"/>
    <w:rsid w:val="00C759B5"/>
    <w:rsid w:val="00C8051B"/>
    <w:rsid w:val="00C80EF8"/>
    <w:rsid w:val="00C81F55"/>
    <w:rsid w:val="00C8216D"/>
    <w:rsid w:val="00C83532"/>
    <w:rsid w:val="00C83BEC"/>
    <w:rsid w:val="00C83F3E"/>
    <w:rsid w:val="00C84233"/>
    <w:rsid w:val="00C847AA"/>
    <w:rsid w:val="00C873D4"/>
    <w:rsid w:val="00C918E7"/>
    <w:rsid w:val="00C97290"/>
    <w:rsid w:val="00CB5E59"/>
    <w:rsid w:val="00CC0AD7"/>
    <w:rsid w:val="00CC264F"/>
    <w:rsid w:val="00CC6465"/>
    <w:rsid w:val="00CD05B1"/>
    <w:rsid w:val="00CD0E4A"/>
    <w:rsid w:val="00CD3775"/>
    <w:rsid w:val="00CD5050"/>
    <w:rsid w:val="00CD6CB5"/>
    <w:rsid w:val="00CD7B7C"/>
    <w:rsid w:val="00CD7D36"/>
    <w:rsid w:val="00CE1F07"/>
    <w:rsid w:val="00CE2E56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736D"/>
    <w:rsid w:val="00D07405"/>
    <w:rsid w:val="00D112BD"/>
    <w:rsid w:val="00D13695"/>
    <w:rsid w:val="00D1496A"/>
    <w:rsid w:val="00D164E5"/>
    <w:rsid w:val="00D16754"/>
    <w:rsid w:val="00D211E4"/>
    <w:rsid w:val="00D2343F"/>
    <w:rsid w:val="00D237AF"/>
    <w:rsid w:val="00D26C4A"/>
    <w:rsid w:val="00D27943"/>
    <w:rsid w:val="00D27A8D"/>
    <w:rsid w:val="00D30532"/>
    <w:rsid w:val="00D33332"/>
    <w:rsid w:val="00D44F6C"/>
    <w:rsid w:val="00D4754F"/>
    <w:rsid w:val="00D50EDF"/>
    <w:rsid w:val="00D51055"/>
    <w:rsid w:val="00D5125A"/>
    <w:rsid w:val="00D514AF"/>
    <w:rsid w:val="00D546FF"/>
    <w:rsid w:val="00D5479E"/>
    <w:rsid w:val="00D54FBE"/>
    <w:rsid w:val="00D633FC"/>
    <w:rsid w:val="00D63F63"/>
    <w:rsid w:val="00D64FB3"/>
    <w:rsid w:val="00D6522A"/>
    <w:rsid w:val="00D670BF"/>
    <w:rsid w:val="00D71805"/>
    <w:rsid w:val="00D76CA5"/>
    <w:rsid w:val="00D81087"/>
    <w:rsid w:val="00D83903"/>
    <w:rsid w:val="00D85D06"/>
    <w:rsid w:val="00D94145"/>
    <w:rsid w:val="00D94C66"/>
    <w:rsid w:val="00D94D5B"/>
    <w:rsid w:val="00D97C11"/>
    <w:rsid w:val="00D97F26"/>
    <w:rsid w:val="00DA1192"/>
    <w:rsid w:val="00DA21CE"/>
    <w:rsid w:val="00DA7A89"/>
    <w:rsid w:val="00DB0986"/>
    <w:rsid w:val="00DB0F84"/>
    <w:rsid w:val="00DB1E6B"/>
    <w:rsid w:val="00DB3008"/>
    <w:rsid w:val="00DC1FC8"/>
    <w:rsid w:val="00DC297B"/>
    <w:rsid w:val="00DC4D47"/>
    <w:rsid w:val="00DC5CF0"/>
    <w:rsid w:val="00DC7382"/>
    <w:rsid w:val="00DC7705"/>
    <w:rsid w:val="00DC794C"/>
    <w:rsid w:val="00DD0BD6"/>
    <w:rsid w:val="00DD6EE8"/>
    <w:rsid w:val="00DE05A2"/>
    <w:rsid w:val="00DE23D6"/>
    <w:rsid w:val="00DE25DC"/>
    <w:rsid w:val="00DE2AAD"/>
    <w:rsid w:val="00DE5009"/>
    <w:rsid w:val="00DE7E3E"/>
    <w:rsid w:val="00DF1BFB"/>
    <w:rsid w:val="00DF1DEA"/>
    <w:rsid w:val="00DF2478"/>
    <w:rsid w:val="00E04FED"/>
    <w:rsid w:val="00E06FC6"/>
    <w:rsid w:val="00E124FC"/>
    <w:rsid w:val="00E1448D"/>
    <w:rsid w:val="00E15860"/>
    <w:rsid w:val="00E16133"/>
    <w:rsid w:val="00E275FA"/>
    <w:rsid w:val="00E319C2"/>
    <w:rsid w:val="00E3283F"/>
    <w:rsid w:val="00E33C00"/>
    <w:rsid w:val="00E35D21"/>
    <w:rsid w:val="00E36AA4"/>
    <w:rsid w:val="00E371A8"/>
    <w:rsid w:val="00E37787"/>
    <w:rsid w:val="00E37BBB"/>
    <w:rsid w:val="00E42065"/>
    <w:rsid w:val="00E42675"/>
    <w:rsid w:val="00E4540C"/>
    <w:rsid w:val="00E46FA4"/>
    <w:rsid w:val="00E53C2E"/>
    <w:rsid w:val="00E55BE8"/>
    <w:rsid w:val="00E60239"/>
    <w:rsid w:val="00E6255C"/>
    <w:rsid w:val="00E63FE7"/>
    <w:rsid w:val="00E67B8C"/>
    <w:rsid w:val="00E70ABE"/>
    <w:rsid w:val="00E71E40"/>
    <w:rsid w:val="00E72B6E"/>
    <w:rsid w:val="00E751E9"/>
    <w:rsid w:val="00E800D2"/>
    <w:rsid w:val="00E82D5C"/>
    <w:rsid w:val="00E83E29"/>
    <w:rsid w:val="00E8419E"/>
    <w:rsid w:val="00E84295"/>
    <w:rsid w:val="00E845BD"/>
    <w:rsid w:val="00E902B7"/>
    <w:rsid w:val="00E922C3"/>
    <w:rsid w:val="00E950ED"/>
    <w:rsid w:val="00EA01D2"/>
    <w:rsid w:val="00EA05B0"/>
    <w:rsid w:val="00EA1142"/>
    <w:rsid w:val="00EA33ED"/>
    <w:rsid w:val="00EA3EA4"/>
    <w:rsid w:val="00EA7FAA"/>
    <w:rsid w:val="00EB145A"/>
    <w:rsid w:val="00EB7E05"/>
    <w:rsid w:val="00EC01C9"/>
    <w:rsid w:val="00EC0B38"/>
    <w:rsid w:val="00EC2470"/>
    <w:rsid w:val="00EC6EB0"/>
    <w:rsid w:val="00ED3D7C"/>
    <w:rsid w:val="00ED62B9"/>
    <w:rsid w:val="00ED67B4"/>
    <w:rsid w:val="00EE3492"/>
    <w:rsid w:val="00EE564A"/>
    <w:rsid w:val="00EF29D0"/>
    <w:rsid w:val="00EF6A8D"/>
    <w:rsid w:val="00EF7782"/>
    <w:rsid w:val="00F005AE"/>
    <w:rsid w:val="00F028D8"/>
    <w:rsid w:val="00F041E3"/>
    <w:rsid w:val="00F04278"/>
    <w:rsid w:val="00F059E4"/>
    <w:rsid w:val="00F114EB"/>
    <w:rsid w:val="00F13B2A"/>
    <w:rsid w:val="00F16A16"/>
    <w:rsid w:val="00F16AB7"/>
    <w:rsid w:val="00F17AFE"/>
    <w:rsid w:val="00F20E98"/>
    <w:rsid w:val="00F2409D"/>
    <w:rsid w:val="00F25857"/>
    <w:rsid w:val="00F30F13"/>
    <w:rsid w:val="00F31913"/>
    <w:rsid w:val="00F34B1F"/>
    <w:rsid w:val="00F36CE6"/>
    <w:rsid w:val="00F40C5A"/>
    <w:rsid w:val="00F43B5C"/>
    <w:rsid w:val="00F44FD3"/>
    <w:rsid w:val="00F4522C"/>
    <w:rsid w:val="00F457DE"/>
    <w:rsid w:val="00F466D2"/>
    <w:rsid w:val="00F46D1A"/>
    <w:rsid w:val="00F51CBF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90308"/>
    <w:rsid w:val="00F96A2F"/>
    <w:rsid w:val="00F971D2"/>
    <w:rsid w:val="00FA02B4"/>
    <w:rsid w:val="00FA2152"/>
    <w:rsid w:val="00FA3811"/>
    <w:rsid w:val="00FA5487"/>
    <w:rsid w:val="00FA706B"/>
    <w:rsid w:val="00FB0019"/>
    <w:rsid w:val="00FB0598"/>
    <w:rsid w:val="00FB1040"/>
    <w:rsid w:val="00FB309C"/>
    <w:rsid w:val="00FB5200"/>
    <w:rsid w:val="00FB5BD0"/>
    <w:rsid w:val="00FC068A"/>
    <w:rsid w:val="00FC35E6"/>
    <w:rsid w:val="00FC594D"/>
    <w:rsid w:val="00FD0092"/>
    <w:rsid w:val="00FD109E"/>
    <w:rsid w:val="00FD2173"/>
    <w:rsid w:val="00FD4C7B"/>
    <w:rsid w:val="00FD6CC5"/>
    <w:rsid w:val="00FE03C4"/>
    <w:rsid w:val="00FE6570"/>
    <w:rsid w:val="00FF0AB9"/>
    <w:rsid w:val="00FF223E"/>
    <w:rsid w:val="00FF25F5"/>
    <w:rsid w:val="00FF4C09"/>
    <w:rsid w:val="00FF63E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1744F"/>
  <w15:docId w15:val="{EB9914ED-4A77-4E80-B271-C2E1313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character" w:customStyle="1" w:styleId="hps">
    <w:name w:val="hps"/>
    <w:basedOn w:val="Standardnpsmoodstavce"/>
    <w:rsid w:val="00C430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6CE6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6CE6"/>
    <w:rPr>
      <w:rFonts w:ascii="ScalaSans-Regular" w:hAnsi="ScalaSans-Regular"/>
      <w:b/>
      <w:bCs/>
      <w:spacing w:val="-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8F33-3610-466B-A860-20524DBA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4315</Words>
  <Characters>25462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29718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11</cp:revision>
  <cp:lastPrinted>2015-09-11T15:40:00Z</cp:lastPrinted>
  <dcterms:created xsi:type="dcterms:W3CDTF">2016-09-13T07:54:00Z</dcterms:created>
  <dcterms:modified xsi:type="dcterms:W3CDTF">2016-09-29T07:38:00Z</dcterms:modified>
</cp:coreProperties>
</file>