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FBF8" w14:textId="77777777" w:rsidR="00F87C11" w:rsidRDefault="00A87C6A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8" o:title=""/>
          </v:polyline>
          <o:OLEObject Type="Embed" ProgID="Word.Picture.8" ShapeID="ole_rId2" DrawAspect="Content" ObjectID="_1773574239" r:id="rId9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E3B1325" w14:textId="14FF5048" w:rsidR="00F87C11" w:rsidRPr="00667A6D" w:rsidRDefault="0006755C" w:rsidP="00667A6D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25</w:t>
      </w:r>
      <w:r w:rsidR="003A3E89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 w:rsidR="008452A7">
        <w:rPr>
          <w:rFonts w:ascii="NobelCE Lt" w:hAnsi="NobelCE Lt" w:cs="Arial"/>
        </w:rPr>
        <w:t>ledna</w:t>
      </w:r>
      <w:r w:rsidR="00303049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8452A7">
        <w:rPr>
          <w:rFonts w:ascii="NobelCE Lt" w:hAnsi="NobelCE Lt" w:cs="Arial"/>
        </w:rPr>
        <w:t>4</w:t>
      </w:r>
    </w:p>
    <w:p w14:paraId="1A940EF8" w14:textId="4966106A" w:rsidR="00303049" w:rsidRPr="008452A7" w:rsidRDefault="0006755C" w:rsidP="0070437F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52"/>
          <w:szCs w:val="52"/>
          <w:lang w:eastAsia="cs-CZ"/>
        </w:rPr>
      </w:pPr>
      <w:r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br/>
      </w:r>
      <w:r w:rsidR="000B525B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>NOV</w:t>
      </w:r>
      <w:r w:rsidR="00381085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>Ý LEXUS</w:t>
      </w:r>
      <w:r w:rsidR="000B525B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 UX 300h</w:t>
      </w:r>
      <w:r w:rsidR="00525ED9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 2024</w:t>
      </w:r>
      <w:r w:rsidR="000B525B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>: VYŠŠÍ VÝKON</w:t>
      </w:r>
      <w:r w:rsidR="00381085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 </w:t>
      </w:r>
      <w:r w:rsidR="000B525B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A </w:t>
      </w:r>
      <w:r w:rsidR="00525ED9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>LEPŠÍ JÍZDNÍ VLASTNOSTI</w:t>
      </w:r>
      <w:r w:rsidR="000B525B" w:rsidRPr="008452A7">
        <w:rPr>
          <w:rFonts w:ascii="NobelCE Lt" w:hAnsi="NobelCE Lt"/>
          <w:b/>
          <w:bCs/>
          <w:color w:val="000000"/>
          <w:sz w:val="52"/>
          <w:szCs w:val="52"/>
          <w:lang w:eastAsia="cs-CZ"/>
        </w:rPr>
        <w:t xml:space="preserve"> </w:t>
      </w:r>
    </w:p>
    <w:p w14:paraId="79F7AC57" w14:textId="475EF6A8" w:rsidR="00525ED9" w:rsidRDefault="00215FA5" w:rsidP="003A3E89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>
        <w:rPr>
          <w:rFonts w:ascii="NobelCE Lt" w:hAnsi="NobelCE Lt"/>
          <w:b/>
          <w:bCs/>
          <w:iCs/>
          <w:szCs w:val="36"/>
        </w:rPr>
        <w:t>Městské SUV</w:t>
      </w:r>
      <w:r w:rsidR="00A73D55">
        <w:rPr>
          <w:rFonts w:ascii="NobelCE Lt" w:hAnsi="NobelCE Lt"/>
          <w:b/>
          <w:bCs/>
          <w:iCs/>
          <w:szCs w:val="36"/>
        </w:rPr>
        <w:t xml:space="preserve"> 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Lexus UX, jeden z nejprodávanějších modelů značky v Evropě, </w:t>
      </w:r>
      <w:r w:rsidR="00525ED9">
        <w:rPr>
          <w:rFonts w:ascii="NobelCE Lt" w:hAnsi="NobelCE Lt"/>
          <w:b/>
          <w:bCs/>
          <w:iCs/>
          <w:szCs w:val="36"/>
        </w:rPr>
        <w:t xml:space="preserve">se 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v roce 2024 </w:t>
      </w:r>
      <w:r w:rsidR="00525ED9">
        <w:rPr>
          <w:rFonts w:ascii="NobelCE Lt" w:hAnsi="NobelCE Lt"/>
          <w:b/>
          <w:bCs/>
          <w:iCs/>
          <w:szCs w:val="36"/>
        </w:rPr>
        <w:t>bude moci pochlubit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 vylepšený</w:t>
      </w:r>
      <w:r w:rsidR="00525ED9">
        <w:rPr>
          <w:rFonts w:ascii="NobelCE Lt" w:hAnsi="NobelCE Lt"/>
          <w:b/>
          <w:bCs/>
          <w:iCs/>
          <w:szCs w:val="36"/>
        </w:rPr>
        <w:t>m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 pohon</w:t>
      </w:r>
      <w:r w:rsidR="00525ED9">
        <w:rPr>
          <w:rFonts w:ascii="NobelCE Lt" w:hAnsi="NobelCE Lt"/>
          <w:b/>
          <w:bCs/>
          <w:iCs/>
          <w:szCs w:val="36"/>
        </w:rPr>
        <w:t xml:space="preserve">em a </w:t>
      </w:r>
      <w:r w:rsidR="000B525B" w:rsidRPr="000B525B">
        <w:rPr>
          <w:rFonts w:ascii="NobelCE Lt" w:hAnsi="NobelCE Lt"/>
          <w:b/>
          <w:bCs/>
          <w:iCs/>
          <w:szCs w:val="36"/>
        </w:rPr>
        <w:t>zdokonalen</w:t>
      </w:r>
      <w:r w:rsidR="00525ED9">
        <w:rPr>
          <w:rFonts w:ascii="NobelCE Lt" w:hAnsi="NobelCE Lt"/>
          <w:b/>
          <w:bCs/>
          <w:iCs/>
          <w:szCs w:val="36"/>
        </w:rPr>
        <w:t>ou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 jízdní dynamik</w:t>
      </w:r>
      <w:r w:rsidR="00525ED9">
        <w:rPr>
          <w:rFonts w:ascii="NobelCE Lt" w:hAnsi="NobelCE Lt"/>
          <w:b/>
          <w:bCs/>
          <w:iCs/>
          <w:szCs w:val="36"/>
        </w:rPr>
        <w:t xml:space="preserve">ou. UX bylo navržené </w:t>
      </w:r>
      <w:r w:rsidR="000B525B" w:rsidRPr="000B525B">
        <w:rPr>
          <w:rFonts w:ascii="NobelCE Lt" w:hAnsi="NobelCE Lt"/>
          <w:b/>
          <w:bCs/>
          <w:iCs/>
          <w:szCs w:val="36"/>
        </w:rPr>
        <w:t xml:space="preserve">s cílem zprostředkovat pocit bezpečí a praktickou všestrannost v kombinaci s jízdními vlastnostmi hatchbacku. </w:t>
      </w:r>
    </w:p>
    <w:p w14:paraId="709BA1D3" w14:textId="27707422" w:rsidR="000B525B" w:rsidRDefault="008452A7" w:rsidP="003A3E89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>
        <w:rPr>
          <w:rFonts w:ascii="NobelCE Lt" w:hAnsi="NobelCE Lt"/>
          <w:iCs/>
          <w:szCs w:val="36"/>
        </w:rPr>
        <w:t xml:space="preserve">Lexus </w:t>
      </w:r>
      <w:r w:rsidR="000B525B" w:rsidRPr="00525ED9">
        <w:rPr>
          <w:rFonts w:ascii="NobelCE Lt" w:hAnsi="NobelCE Lt"/>
          <w:iCs/>
          <w:szCs w:val="36"/>
        </w:rPr>
        <w:t>UX je k dispozici v</w:t>
      </w:r>
      <w:r w:rsidR="00A73D55">
        <w:rPr>
          <w:rFonts w:ascii="NobelCE Lt" w:hAnsi="NobelCE Lt"/>
          <w:iCs/>
          <w:szCs w:val="36"/>
        </w:rPr>
        <w:t xml:space="preserve"> plně </w:t>
      </w:r>
      <w:r w:rsidR="000B525B" w:rsidRPr="00525ED9">
        <w:rPr>
          <w:rFonts w:ascii="NobelCE Lt" w:hAnsi="NobelCE Lt"/>
          <w:iCs/>
          <w:szCs w:val="36"/>
        </w:rPr>
        <w:t xml:space="preserve">hybridní verzi s autonomním dobíjením i jako čistý elektromobil, a zastává významnou roli v globální strategii elektrifikace značky. </w:t>
      </w:r>
      <w:r w:rsidR="0006755C">
        <w:rPr>
          <w:rFonts w:ascii="NobelCE Lt" w:hAnsi="NobelCE Lt"/>
          <w:iCs/>
          <w:szCs w:val="36"/>
        </w:rPr>
        <w:t xml:space="preserve">V České republice zaznamenal model UX v loňském roce historický prodejní rekord, když si ho objednalo bezmála 300 zákazníků, což bylo o </w:t>
      </w:r>
      <w:r w:rsidR="0006755C">
        <w:rPr>
          <w:rFonts w:ascii="NobelCE Lt" w:hAnsi="NobelCE Lt"/>
          <w:iCs/>
          <w:szCs w:val="36"/>
        </w:rPr>
        <w:br/>
        <w:t>158 % více než v roce 2022.</w:t>
      </w:r>
    </w:p>
    <w:p w14:paraId="28147481" w14:textId="7019C391" w:rsidR="00525ED9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Dosavadní hybridní UX 250h </w:t>
      </w:r>
      <w:r w:rsidR="0006755C">
        <w:rPr>
          <w:rFonts w:ascii="NobelCE Lt" w:hAnsi="NobelCE Lt"/>
          <w:iCs/>
          <w:szCs w:val="36"/>
        </w:rPr>
        <w:t>je</w:t>
      </w:r>
      <w:r w:rsidRPr="000B525B">
        <w:rPr>
          <w:rFonts w:ascii="NobelCE Lt" w:hAnsi="NobelCE Lt"/>
          <w:iCs/>
          <w:szCs w:val="36"/>
        </w:rPr>
        <w:t xml:space="preserve"> v rámci modernizace nahrazeno novým provedením UX 300h. Model UX 300h je stejně jako UX 250h poháněn řadovým čtyřválcem 2,0 litru</w:t>
      </w:r>
      <w:r w:rsidR="00381085">
        <w:rPr>
          <w:rFonts w:ascii="NobelCE Lt" w:hAnsi="NobelCE Lt"/>
          <w:iCs/>
          <w:szCs w:val="36"/>
        </w:rPr>
        <w:t xml:space="preserve">, v případě verze 4x4 </w:t>
      </w:r>
      <w:r w:rsidRPr="000B525B">
        <w:rPr>
          <w:rFonts w:ascii="NobelCE Lt" w:hAnsi="NobelCE Lt"/>
          <w:iCs/>
          <w:szCs w:val="36"/>
        </w:rPr>
        <w:t>ve spojení se dvěma elektromotory</w:t>
      </w:r>
      <w:r w:rsidR="00525ED9">
        <w:rPr>
          <w:rFonts w:ascii="NobelCE Lt" w:hAnsi="NobelCE Lt"/>
          <w:iCs/>
          <w:szCs w:val="36"/>
        </w:rPr>
        <w:t>.</w:t>
      </w:r>
    </w:p>
    <w:p w14:paraId="234A5318" w14:textId="3E12A4DC" w:rsidR="000B525B" w:rsidRDefault="00525ED9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>
        <w:rPr>
          <w:rFonts w:ascii="NobelCE Lt" w:hAnsi="NobelCE Lt"/>
          <w:iCs/>
          <w:szCs w:val="36"/>
        </w:rPr>
        <w:t>Z</w:t>
      </w:r>
      <w:r w:rsidR="000B525B" w:rsidRPr="000B525B">
        <w:rPr>
          <w:rFonts w:ascii="NobelCE Lt" w:hAnsi="NobelCE Lt"/>
          <w:iCs/>
          <w:szCs w:val="36"/>
        </w:rPr>
        <w:t xml:space="preserve">adní elektromotor systému pohonu e-Four je však v případě nové verze 5,6× výkonnější než u předchůdce. Namísto asynchronního (indukčního) elektromotoru o výkonu 5,3 kW (7 koní), který poháněl zadní kola UX 250h, je zde elektromotor s permanentním magnetem o výkonu 30 kW (41 koní). Ten přispívá k ostřejším reakcím na pokyny od akceleračního pedálu a výrazně vylepšuje požitek za volantem. </w:t>
      </w:r>
    </w:p>
    <w:p w14:paraId="14C48763" w14:textId="06DA10F0" w:rsidR="00667A6D" w:rsidRPr="00667A6D" w:rsidRDefault="00667A6D" w:rsidP="000B525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667A6D">
        <w:rPr>
          <w:rFonts w:ascii="NobelCE Lt" w:hAnsi="NobelCE Lt"/>
          <w:b/>
          <w:bCs/>
          <w:iCs/>
          <w:szCs w:val="36"/>
        </w:rPr>
        <w:t>Vyšší celkový výkon</w:t>
      </w:r>
    </w:p>
    <w:p w14:paraId="67912412" w14:textId="77777777" w:rsidR="00667A6D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Nové UX 300h přichází i s vyšším celkovým výkonem na úrovni 146 kW (199 koní), což znamená 8% nárůst oproti UX 250h (135 kW / 184 koní). Posílení je výsledkem hybridního systému páté generace, u nějž byla dosavadní baterie typu NiMH se 180 články a napětím 216 V nahrazena účinnější lithium-iontovou baterií se 60 články a 222 V. </w:t>
      </w:r>
    </w:p>
    <w:p w14:paraId="5FA77747" w14:textId="7C536210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Akcelerace z </w:t>
      </w:r>
      <w:r w:rsidR="008452A7">
        <w:rPr>
          <w:rFonts w:ascii="NobelCE Lt" w:hAnsi="NobelCE Lt"/>
          <w:iCs/>
          <w:szCs w:val="36"/>
        </w:rPr>
        <w:t>0</w:t>
      </w:r>
      <w:r w:rsidRPr="000B525B">
        <w:rPr>
          <w:rFonts w:ascii="NobelCE Lt" w:hAnsi="NobelCE Lt"/>
          <w:iCs/>
          <w:szCs w:val="36"/>
        </w:rPr>
        <w:t xml:space="preserve"> na 100 km/h se u provedení s pohonem předních kol zkrátila z 8,5 na 8,1 sekundy, resp. u verze s pohonem všech kol z 8,7 na 7,9 sekundy. Díky hospodárnějšímu systému pohonu a poklesu hmotnosti se dále podařilo snížit kombinovanou spotřebu paliva na </w:t>
      </w:r>
      <w:r w:rsidR="002358A8">
        <w:rPr>
          <w:rFonts w:ascii="NobelCE Lt" w:hAnsi="NobelCE Lt"/>
          <w:iCs/>
          <w:szCs w:val="36"/>
        </w:rPr>
        <w:t>5,0</w:t>
      </w:r>
      <w:r w:rsidRPr="000B525B">
        <w:rPr>
          <w:rFonts w:ascii="NobelCE Lt" w:hAnsi="NobelCE Lt"/>
          <w:iCs/>
          <w:szCs w:val="36"/>
        </w:rPr>
        <w:t>–5,</w:t>
      </w:r>
      <w:r w:rsidR="002358A8">
        <w:rPr>
          <w:rFonts w:ascii="NobelCE Lt" w:hAnsi="NobelCE Lt"/>
          <w:iCs/>
          <w:szCs w:val="36"/>
        </w:rPr>
        <w:t>2</w:t>
      </w:r>
      <w:r w:rsidRPr="000B525B">
        <w:rPr>
          <w:rFonts w:ascii="NobelCE Lt" w:hAnsi="NobelCE Lt"/>
          <w:iCs/>
          <w:szCs w:val="36"/>
        </w:rPr>
        <w:t xml:space="preserve"> l/100 km (podle metodiky WLTP)</w:t>
      </w:r>
      <w:r w:rsidR="008452A7">
        <w:rPr>
          <w:rFonts w:ascii="NobelCE Lt" w:hAnsi="NobelCE Lt"/>
          <w:iCs/>
          <w:szCs w:val="36"/>
        </w:rPr>
        <w:t xml:space="preserve"> u verze s pohonem předních kol a na 5,</w:t>
      </w:r>
      <w:r w:rsidR="002358A8">
        <w:rPr>
          <w:rFonts w:ascii="NobelCE Lt" w:hAnsi="NobelCE Lt"/>
          <w:iCs/>
          <w:szCs w:val="36"/>
        </w:rPr>
        <w:t>3</w:t>
      </w:r>
      <w:r w:rsidR="008452A7">
        <w:rPr>
          <w:rFonts w:ascii="NobelCE Lt" w:hAnsi="NobelCE Lt"/>
          <w:iCs/>
          <w:szCs w:val="36"/>
        </w:rPr>
        <w:t>-5,</w:t>
      </w:r>
      <w:r w:rsidR="002358A8">
        <w:rPr>
          <w:rFonts w:ascii="NobelCE Lt" w:hAnsi="NobelCE Lt"/>
          <w:iCs/>
          <w:szCs w:val="36"/>
        </w:rPr>
        <w:t>7</w:t>
      </w:r>
      <w:r w:rsidR="008452A7">
        <w:rPr>
          <w:rFonts w:ascii="NobelCE Lt" w:hAnsi="NobelCE Lt"/>
          <w:iCs/>
          <w:szCs w:val="36"/>
        </w:rPr>
        <w:t xml:space="preserve"> l/100 km u verze s pohonem všech kol</w:t>
      </w:r>
      <w:r w:rsidRPr="000B525B">
        <w:rPr>
          <w:rFonts w:ascii="NobelCE Lt" w:hAnsi="NobelCE Lt"/>
          <w:iCs/>
          <w:szCs w:val="36"/>
        </w:rPr>
        <w:t xml:space="preserve">. </w:t>
      </w:r>
    </w:p>
    <w:p w14:paraId="7A10BCCA" w14:textId="772543B8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lastRenderedPageBreak/>
        <w:t xml:space="preserve">Lepší zrychlení je v případě UX 300h s pohonem všech kol doprovázeno vyrovnanější jízdní dynamikou. Při rychlém projíždění zatáček jsou lépe utlumeny náklony karoserie; za prudkého brzdění je ještě účinněji potlačeno zanořování přídě; a když povrch vozovky na jedné straně vozidla klouže více než na druhé, vozidlo dokáže suverénněji zrychlovat i prudce brzdit a ostře zatáčet při zachování spolehlivé ovladatelnosti. </w:t>
      </w:r>
    </w:p>
    <w:p w14:paraId="5C25B7F2" w14:textId="4A248C40" w:rsid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>K uvedeným vylepšením přispělo odladění systému pohonu všech kol e-Four se zaměřením na dynamické rozdělování hmotnosti mezi nápravami, kdy vozidlo nepřetržitě sleduje jízdní podmínky s cílem optimalizovat rozdělování hnacího momentu mezi koly přední a zadní nápravy. Do jízdní dynamiky se dále promítla vyšší tuhost karoserie, jmenovitě nová stabilizační výztuha držáku chladiče a vyztužení víka kufru.</w:t>
      </w:r>
    </w:p>
    <w:p w14:paraId="2C4917B8" w14:textId="43134199" w:rsidR="00667A6D" w:rsidRPr="00667A6D" w:rsidRDefault="00667A6D" w:rsidP="000B525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667A6D">
        <w:rPr>
          <w:rFonts w:ascii="NobelCE Lt" w:hAnsi="NobelCE Lt"/>
          <w:b/>
          <w:bCs/>
          <w:iCs/>
          <w:szCs w:val="36"/>
        </w:rPr>
        <w:t>Větší pohodlí</w:t>
      </w:r>
    </w:p>
    <w:p w14:paraId="4054554E" w14:textId="77777777" w:rsidR="008452A7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Nové UX 300h se stejně jako čistý elektromobil UX 300e chlubí ještě </w:t>
      </w:r>
      <w:r w:rsidR="00667A6D">
        <w:rPr>
          <w:rFonts w:ascii="NobelCE Lt" w:hAnsi="NobelCE Lt"/>
          <w:iCs/>
          <w:szCs w:val="36"/>
        </w:rPr>
        <w:t xml:space="preserve">větší </w:t>
      </w:r>
      <w:r w:rsidRPr="000B525B">
        <w:rPr>
          <w:rFonts w:ascii="NobelCE Lt" w:hAnsi="NobelCE Lt"/>
          <w:iCs/>
          <w:szCs w:val="36"/>
        </w:rPr>
        <w:t>pohodlím a praktičností.</w:t>
      </w:r>
    </w:p>
    <w:p w14:paraId="3BC7A982" w14:textId="7A7C4C93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V kokpitu </w:t>
      </w:r>
      <w:r w:rsidR="008452A7" w:rsidRPr="000B525B">
        <w:rPr>
          <w:rFonts w:ascii="NobelCE Lt" w:hAnsi="NobelCE Lt"/>
          <w:iCs/>
          <w:szCs w:val="36"/>
        </w:rPr>
        <w:t xml:space="preserve">je na přání k dispozici 12,3" plně digitální přístrojový štít. Digitální kokpit přináší hladké a intuitivní uživatelské prostředí, které zprostředkuje informace, zábavu i konektivitu. Jeho vzhled se mění v závislosti na vybraném jízdním režimu; uspořádání si řidič navíc může upravit podle vlastního vkusu a potřeby. </w:t>
      </w:r>
      <w:r w:rsidR="008452A7">
        <w:rPr>
          <w:rFonts w:ascii="NobelCE Lt" w:hAnsi="NobelCE Lt"/>
          <w:iCs/>
          <w:szCs w:val="36"/>
        </w:rPr>
        <w:t>S</w:t>
      </w:r>
      <w:r w:rsidRPr="000B525B">
        <w:rPr>
          <w:rFonts w:ascii="NobelCE Lt" w:hAnsi="NobelCE Lt"/>
          <w:iCs/>
          <w:szCs w:val="36"/>
        </w:rPr>
        <w:t>tandardní 8" dotykový displej</w:t>
      </w:r>
      <w:r w:rsidR="008452A7">
        <w:rPr>
          <w:rFonts w:ascii="NobelCE Lt" w:hAnsi="NobelCE Lt"/>
          <w:iCs/>
          <w:szCs w:val="36"/>
        </w:rPr>
        <w:t xml:space="preserve"> byl také modernizován.</w:t>
      </w:r>
      <w:r w:rsidRPr="000B525B">
        <w:rPr>
          <w:rFonts w:ascii="NobelCE Lt" w:hAnsi="NobelCE Lt"/>
          <w:iCs/>
          <w:szCs w:val="36"/>
        </w:rPr>
        <w:t xml:space="preserve"> </w:t>
      </w:r>
    </w:p>
    <w:p w14:paraId="32ED6931" w14:textId="12F63149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>Pro zájemce o UX je nyní dále k dispozici nová barva interiéru – písková Ammonite, resp. veganské provedení interiéru se sedadly čalouněnými látkou nebo umělou kůží</w:t>
      </w:r>
      <w:r w:rsidR="00667A6D">
        <w:rPr>
          <w:rFonts w:ascii="NobelCE Lt" w:hAnsi="NobelCE Lt"/>
          <w:iCs/>
          <w:szCs w:val="36"/>
        </w:rPr>
        <w:t>. U</w:t>
      </w:r>
      <w:r w:rsidRPr="000B525B">
        <w:rPr>
          <w:rFonts w:ascii="NobelCE Lt" w:hAnsi="NobelCE Lt"/>
          <w:iCs/>
          <w:szCs w:val="36"/>
        </w:rPr>
        <w:t xml:space="preserve">mělou kůži najdeme i na věnci vyhřívaného volantu a hlavici řadicí páky. Do modernizovaného volantu je začleněna kamera systému monitorování řidiče. Ten nepřetržitě sleduje pozornost řidiče a dokáže rozpoznat ztrátu koncentrace vlivem únavy či nevolnosti. Pokud by řidič na upozornění nereagoval, systém zahájí kontrolované nouzové zastavení vozidla včetně zapnutí výstražných světel. </w:t>
      </w:r>
    </w:p>
    <w:p w14:paraId="063B5678" w14:textId="25E5FA79" w:rsid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Nejnovější variantu bezpečnostního paketu Lexus Safety System + doplňují dvě další funkce. Proaktivní asistent </w:t>
      </w:r>
      <w:r w:rsidR="00215FA5">
        <w:rPr>
          <w:rFonts w:ascii="NobelCE Lt" w:hAnsi="NobelCE Lt"/>
          <w:iCs/>
          <w:szCs w:val="36"/>
        </w:rPr>
        <w:t xml:space="preserve">jízdy </w:t>
      </w:r>
      <w:r w:rsidRPr="000B525B">
        <w:rPr>
          <w:rFonts w:ascii="NobelCE Lt" w:hAnsi="NobelCE Lt"/>
          <w:iCs/>
          <w:szCs w:val="36"/>
        </w:rPr>
        <w:t xml:space="preserve">prostřednictvím přední kamery vozidla za nižších rychlostí ve městě rozpoznává rizika v podobě zaparkovaných vozidel, cyklistů, resp. chodců chystajících se vstoupit do vozovky nebo kráčejících po jejím okraji. </w:t>
      </w:r>
      <w:r w:rsidR="00215FA5">
        <w:rPr>
          <w:rFonts w:ascii="NobelCE Lt" w:hAnsi="NobelCE Lt"/>
          <w:iCs/>
          <w:szCs w:val="36"/>
        </w:rPr>
        <w:t xml:space="preserve">Systém upozornění na </w:t>
      </w:r>
      <w:r w:rsidR="008443E0">
        <w:rPr>
          <w:rFonts w:ascii="NobelCE Lt" w:hAnsi="NobelCE Lt"/>
          <w:iCs/>
          <w:szCs w:val="36"/>
        </w:rPr>
        <w:t>od</w:t>
      </w:r>
      <w:r w:rsidR="00215FA5">
        <w:rPr>
          <w:rFonts w:ascii="NobelCE Lt" w:hAnsi="NobelCE Lt"/>
          <w:iCs/>
          <w:szCs w:val="36"/>
        </w:rPr>
        <w:t xml:space="preserve">stup od vozidla </w:t>
      </w:r>
      <w:r w:rsidRPr="000B525B">
        <w:rPr>
          <w:rFonts w:ascii="NobelCE Lt" w:hAnsi="NobelCE Lt"/>
          <w:iCs/>
          <w:szCs w:val="36"/>
        </w:rPr>
        <w:t xml:space="preserve">se aktivuje za vysokých rychlostí v případě, že hrozí nebezpečí nárazu vzadu jedoucího vozidla. A další doplňková funkce, </w:t>
      </w:r>
      <w:r w:rsidR="00215FA5">
        <w:rPr>
          <w:rFonts w:ascii="NobelCE Lt" w:hAnsi="NobelCE Lt"/>
          <w:iCs/>
          <w:szCs w:val="36"/>
        </w:rPr>
        <w:t>asistent bezpečného vystupování</w:t>
      </w:r>
      <w:r w:rsidRPr="000B525B">
        <w:rPr>
          <w:rFonts w:ascii="NobelCE Lt" w:hAnsi="NobelCE Lt"/>
          <w:iCs/>
          <w:szCs w:val="36"/>
        </w:rPr>
        <w:t xml:space="preserve">, pomáhá při otevírání dveří zabránit střetu s vozidly přijíždějícími zezadu. </w:t>
      </w:r>
    </w:p>
    <w:p w14:paraId="24BECC0F" w14:textId="25D06C30" w:rsidR="00667A6D" w:rsidRPr="00667A6D" w:rsidRDefault="00667A6D" w:rsidP="000B525B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667A6D">
        <w:rPr>
          <w:rFonts w:ascii="NobelCE Lt" w:hAnsi="NobelCE Lt"/>
          <w:b/>
          <w:bCs/>
          <w:iCs/>
          <w:szCs w:val="36"/>
        </w:rPr>
        <w:t>Vozit s sebou klíč není třeba, stačí mobil</w:t>
      </w:r>
    </w:p>
    <w:p w14:paraId="5D8BFC82" w14:textId="2B67D508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>Pro interiér UX ve všech výbavových liniích je k dispozici nová barevná varianta – hnědá Sonic Copper. Pro verze F SPORT a F SPORT Design je v nabídce další dvoubarevné schéma lakování s vyhrazenou paletou odstínů</w:t>
      </w:r>
      <w:r w:rsidR="00667A6D">
        <w:rPr>
          <w:rFonts w:ascii="NobelCE Lt" w:hAnsi="NobelCE Lt"/>
          <w:iCs/>
          <w:szCs w:val="36"/>
        </w:rPr>
        <w:t>. N</w:t>
      </w:r>
      <w:r w:rsidRPr="000B525B">
        <w:rPr>
          <w:rFonts w:ascii="NobelCE Lt" w:hAnsi="NobelCE Lt"/>
          <w:iCs/>
          <w:szCs w:val="36"/>
        </w:rPr>
        <w:t xml:space="preserve">ově je rozšířeno od předního sloupku až po zadní C-sloupek včetně propojení okraje zadního skla s linkou zadních dveří. </w:t>
      </w:r>
    </w:p>
    <w:p w14:paraId="401C8119" w14:textId="6E1EE98F" w:rsidR="000B525B" w:rsidRPr="000B525B" w:rsidRDefault="000B525B" w:rsidP="000B525B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0B525B">
        <w:rPr>
          <w:rFonts w:ascii="NobelCE Lt" w:hAnsi="NobelCE Lt"/>
          <w:iCs/>
          <w:szCs w:val="36"/>
        </w:rPr>
        <w:t xml:space="preserve">UX 300e s pohonem předních kol stejně jako doposud používá lithium-iontovou baterii o kapacitě 72,8 kWh. Dobu DC nabíjení z 0 na 80 % se u nového provedení podařilo zkrátit z původních 80 minut na 60. UX 300e </w:t>
      </w:r>
      <w:r w:rsidR="008443E0">
        <w:rPr>
          <w:rFonts w:ascii="NobelCE Lt" w:hAnsi="NobelCE Lt"/>
          <w:iCs/>
          <w:szCs w:val="36"/>
        </w:rPr>
        <w:t xml:space="preserve">již </w:t>
      </w:r>
      <w:r w:rsidRPr="000B525B">
        <w:rPr>
          <w:rFonts w:ascii="NobelCE Lt" w:hAnsi="NobelCE Lt"/>
          <w:iCs/>
          <w:szCs w:val="36"/>
        </w:rPr>
        <w:t>na jaře 2023 přineslo celou řadu vylepšení včetně prodloužení dojezdu o více než 40 % na 450 km a nového multimediálního systému s dalšími funkcemi a většími dotykovými displeji o úhlopříčce 8 a 12,3".</w:t>
      </w:r>
    </w:p>
    <w:p w14:paraId="5ED21666" w14:textId="77777777" w:rsidR="0006755C" w:rsidRDefault="0006755C">
      <w:pPr>
        <w:rPr>
          <w:rFonts w:ascii="NobelCE Lt" w:hAnsi="NobelCE Lt"/>
          <w:b/>
          <w:bCs/>
          <w:iCs/>
          <w:szCs w:val="36"/>
        </w:rPr>
      </w:pPr>
      <w:r>
        <w:rPr>
          <w:rFonts w:ascii="NobelCE Lt" w:hAnsi="NobelCE Lt"/>
          <w:b/>
          <w:bCs/>
          <w:iCs/>
          <w:szCs w:val="36"/>
        </w:rPr>
        <w:br w:type="page"/>
      </w:r>
    </w:p>
    <w:p w14:paraId="7F6264B8" w14:textId="6B3EAF25" w:rsidR="008443E0" w:rsidRDefault="008443E0" w:rsidP="0070437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b/>
          <w:bCs/>
          <w:iCs/>
          <w:szCs w:val="36"/>
        </w:rPr>
        <w:lastRenderedPageBreak/>
        <w:t>Akční nabídka na českém trhu</w:t>
      </w:r>
    </w:p>
    <w:p w14:paraId="7A4BB459" w14:textId="3CB23FEA" w:rsidR="008443E0" w:rsidRPr="0006755C" w:rsidRDefault="008443E0" w:rsidP="008443E0">
      <w:pPr>
        <w:rPr>
          <w:rFonts w:ascii="NobelCE Lt" w:hAnsi="NobelCE Lt"/>
          <w:iCs/>
          <w:szCs w:val="36"/>
        </w:rPr>
      </w:pPr>
      <w:r w:rsidRPr="0006755C">
        <w:rPr>
          <w:rFonts w:ascii="NobelCE Lt" w:hAnsi="NobelCE Lt"/>
          <w:iCs/>
          <w:szCs w:val="36"/>
        </w:rPr>
        <w:t>Nové UX je v ČR díky akční nabídce dostupné již za 879 000 Kč vč. DPH, a to v bohaté výbavě Business Tech. Se zvýhod</w:t>
      </w:r>
      <w:r w:rsidR="0006755C">
        <w:rPr>
          <w:rFonts w:ascii="NobelCE Lt" w:hAnsi="NobelCE Lt"/>
          <w:iCs/>
          <w:szCs w:val="36"/>
        </w:rPr>
        <w:t>n</w:t>
      </w:r>
      <w:r w:rsidRPr="0006755C">
        <w:rPr>
          <w:rFonts w:ascii="NobelCE Lt" w:hAnsi="NobelCE Lt"/>
          <w:iCs/>
          <w:szCs w:val="36"/>
        </w:rPr>
        <w:t>ěním 306 000 Kč tak zákazník získá bohatě vybavený vůz, jehož součástí je</w:t>
      </w:r>
      <w:r w:rsidR="0006755C" w:rsidRPr="0006755C">
        <w:rPr>
          <w:rFonts w:ascii="NobelCE Lt" w:hAnsi="NobelCE Lt"/>
          <w:iCs/>
          <w:szCs w:val="36"/>
        </w:rPr>
        <w:t xml:space="preserve"> mimo jiné balíček bezpečnostních systémů</w:t>
      </w:r>
      <w:r w:rsidRPr="0006755C">
        <w:rPr>
          <w:rFonts w:ascii="NobelCE Lt" w:hAnsi="NobelCE Lt"/>
          <w:iCs/>
          <w:szCs w:val="36"/>
        </w:rPr>
        <w:t xml:space="preserve"> Lexus Safety Sense +3 včetně rozšířeného balíčku asistenčních systémů (</w:t>
      </w:r>
      <w:r w:rsidR="0006755C" w:rsidRPr="0006755C">
        <w:rPr>
          <w:rFonts w:ascii="NobelCE Lt" w:hAnsi="NobelCE Lt"/>
          <w:iCs/>
          <w:szCs w:val="36"/>
        </w:rPr>
        <w:t>např.</w:t>
      </w:r>
      <w:r w:rsidRPr="0006755C">
        <w:rPr>
          <w:rFonts w:ascii="NobelCE Lt" w:hAnsi="NobelCE Lt"/>
          <w:iCs/>
          <w:szCs w:val="36"/>
        </w:rPr>
        <w:t xml:space="preserve"> hlídání slepého úhlu BSM), zatmavená zadní skla, </w:t>
      </w:r>
      <w:r w:rsidR="0006755C" w:rsidRPr="0006755C">
        <w:rPr>
          <w:rFonts w:ascii="NobelCE Lt" w:hAnsi="NobelCE Lt"/>
          <w:iCs/>
          <w:szCs w:val="36"/>
        </w:rPr>
        <w:t xml:space="preserve">12,3“ </w:t>
      </w:r>
      <w:r w:rsidRPr="0006755C">
        <w:rPr>
          <w:rFonts w:ascii="NobelCE Lt" w:hAnsi="NobelCE Lt"/>
          <w:iCs/>
          <w:szCs w:val="36"/>
        </w:rPr>
        <w:t>virtuální kokpit a bezdrátové nabíjení</w:t>
      </w:r>
      <w:r w:rsidR="0006755C" w:rsidRPr="0006755C">
        <w:rPr>
          <w:rFonts w:ascii="NobelCE Lt" w:hAnsi="NobelCE Lt"/>
          <w:iCs/>
          <w:szCs w:val="36"/>
        </w:rPr>
        <w:t>.</w:t>
      </w:r>
    </w:p>
    <w:p w14:paraId="3A3BDFA9" w14:textId="77777777" w:rsidR="0006755C" w:rsidRPr="0006755C" w:rsidRDefault="0006755C" w:rsidP="008443E0">
      <w:pPr>
        <w:rPr>
          <w:rFonts w:ascii="NobelCE Lt" w:hAnsi="NobelCE Lt"/>
          <w:iCs/>
          <w:szCs w:val="36"/>
        </w:rPr>
      </w:pPr>
    </w:p>
    <w:p w14:paraId="4552A900" w14:textId="12F55314" w:rsidR="008443E0" w:rsidRPr="0006755C" w:rsidRDefault="0006755C" w:rsidP="0006755C">
      <w:pPr>
        <w:rPr>
          <w:rFonts w:ascii="NobelCE Lt" w:hAnsi="NobelCE Lt"/>
          <w:iCs/>
          <w:szCs w:val="36"/>
        </w:rPr>
      </w:pPr>
      <w:r w:rsidRPr="0006755C">
        <w:rPr>
          <w:rFonts w:ascii="NobelCE Lt" w:hAnsi="NobelCE Lt"/>
          <w:iCs/>
          <w:szCs w:val="36"/>
        </w:rPr>
        <w:t>Z</w:t>
      </w:r>
      <w:r w:rsidR="008443E0" w:rsidRPr="0006755C">
        <w:rPr>
          <w:rFonts w:ascii="NobelCE Lt" w:hAnsi="NobelCE Lt"/>
          <w:iCs/>
          <w:szCs w:val="36"/>
        </w:rPr>
        <w:t>a 899 000 Kč vč. DPH m</w:t>
      </w:r>
      <w:r w:rsidRPr="0006755C">
        <w:rPr>
          <w:rFonts w:ascii="NobelCE Lt" w:hAnsi="NobelCE Lt"/>
          <w:iCs/>
          <w:szCs w:val="36"/>
        </w:rPr>
        <w:t xml:space="preserve">ohou </w:t>
      </w:r>
      <w:r w:rsidR="008443E0" w:rsidRPr="0006755C">
        <w:rPr>
          <w:rFonts w:ascii="NobelCE Lt" w:hAnsi="NobelCE Lt"/>
          <w:iCs/>
          <w:szCs w:val="36"/>
        </w:rPr>
        <w:t xml:space="preserve">zájemci získat UX 300h </w:t>
      </w:r>
      <w:r w:rsidRPr="0006755C">
        <w:rPr>
          <w:rFonts w:ascii="NobelCE Lt" w:hAnsi="NobelCE Lt"/>
          <w:iCs/>
          <w:szCs w:val="36"/>
        </w:rPr>
        <w:t xml:space="preserve">ve výbavě </w:t>
      </w:r>
      <w:r w:rsidR="008443E0" w:rsidRPr="0006755C">
        <w:rPr>
          <w:rFonts w:ascii="NobelCE Lt" w:hAnsi="NobelCE Lt"/>
          <w:iCs/>
          <w:szCs w:val="36"/>
        </w:rPr>
        <w:t>F SPORT Design</w:t>
      </w:r>
      <w:r>
        <w:rPr>
          <w:rFonts w:ascii="NobelCE Lt" w:hAnsi="NobelCE Lt"/>
          <w:iCs/>
          <w:szCs w:val="36"/>
        </w:rPr>
        <w:t>. S</w:t>
      </w:r>
      <w:r w:rsidRPr="0006755C">
        <w:rPr>
          <w:rFonts w:ascii="NobelCE Lt" w:hAnsi="NobelCE Lt"/>
          <w:iCs/>
          <w:szCs w:val="36"/>
        </w:rPr>
        <w:t xml:space="preserve">e zvýhodněním </w:t>
      </w:r>
      <w:r w:rsidR="008443E0" w:rsidRPr="0006755C">
        <w:rPr>
          <w:rFonts w:ascii="NobelCE Lt" w:hAnsi="NobelCE Lt"/>
          <w:iCs/>
          <w:szCs w:val="36"/>
        </w:rPr>
        <w:t>321 000 Kč</w:t>
      </w:r>
      <w:r w:rsidRPr="0006755C">
        <w:rPr>
          <w:rFonts w:ascii="NobelCE Lt" w:hAnsi="NobelCE Lt"/>
          <w:iCs/>
          <w:szCs w:val="36"/>
        </w:rPr>
        <w:t xml:space="preserve"> </w:t>
      </w:r>
      <w:r>
        <w:rPr>
          <w:rFonts w:ascii="NobelCE Lt" w:hAnsi="NobelCE Lt"/>
          <w:iCs/>
          <w:szCs w:val="36"/>
        </w:rPr>
        <w:t xml:space="preserve">tak </w:t>
      </w:r>
      <w:r w:rsidRPr="0006755C">
        <w:rPr>
          <w:rFonts w:ascii="NobelCE Lt" w:hAnsi="NobelCE Lt"/>
          <w:iCs/>
          <w:szCs w:val="36"/>
        </w:rPr>
        <w:t>získají</w:t>
      </w:r>
      <w:r w:rsidR="008443E0" w:rsidRPr="0006755C">
        <w:rPr>
          <w:rFonts w:ascii="NobelCE Lt" w:hAnsi="NobelCE Lt"/>
          <w:iCs/>
          <w:szCs w:val="36"/>
        </w:rPr>
        <w:t xml:space="preserve"> designový paket exteriéru F SPORT, </w:t>
      </w:r>
      <w:r w:rsidRPr="0006755C">
        <w:rPr>
          <w:rFonts w:ascii="NobelCE Lt" w:hAnsi="NobelCE Lt"/>
          <w:iCs/>
          <w:szCs w:val="36"/>
        </w:rPr>
        <w:t xml:space="preserve">a nad rámec výbavy Business tech ještě sedadla čalouněná syntetickou kůží nebo </w:t>
      </w:r>
      <w:r w:rsidR="008443E0" w:rsidRPr="0006755C">
        <w:rPr>
          <w:rFonts w:ascii="NobelCE Lt" w:hAnsi="NobelCE Lt"/>
          <w:iCs/>
          <w:szCs w:val="36"/>
        </w:rPr>
        <w:t>elektrické otevírání zavazadlového prostoru</w:t>
      </w:r>
      <w:r w:rsidRPr="0006755C">
        <w:rPr>
          <w:rFonts w:ascii="NobelCE Lt" w:hAnsi="NobelCE Lt"/>
          <w:iCs/>
          <w:szCs w:val="36"/>
        </w:rPr>
        <w:t>.</w:t>
      </w:r>
    </w:p>
    <w:p w14:paraId="1A4E2B30" w14:textId="43DB9FB6" w:rsidR="0006755C" w:rsidRPr="0006755C" w:rsidRDefault="0006755C" w:rsidP="0006755C">
      <w:pPr>
        <w:rPr>
          <w:rFonts w:ascii="NobelCE Lt" w:hAnsi="NobelCE Lt"/>
          <w:iCs/>
          <w:szCs w:val="36"/>
        </w:rPr>
      </w:pPr>
    </w:p>
    <w:p w14:paraId="5B8AE9B3" w14:textId="4B424BE3" w:rsidR="0006755C" w:rsidRPr="0006755C" w:rsidRDefault="0006755C" w:rsidP="0006755C">
      <w:pPr>
        <w:rPr>
          <w:rFonts w:ascii="NobelCE Lt" w:hAnsi="NobelCE Lt"/>
          <w:iCs/>
          <w:szCs w:val="36"/>
        </w:rPr>
      </w:pPr>
      <w:r w:rsidRPr="0006755C">
        <w:rPr>
          <w:rFonts w:ascii="NobelCE Lt" w:hAnsi="NobelCE Lt"/>
          <w:iCs/>
          <w:szCs w:val="36"/>
        </w:rPr>
        <w:t>Na Lexus UX 300e (plně elektrická verze) nyní zájemci mohou čerpat státní dotaci na nákup elektromobilu ve výši 200 000 Kč bez DPH. Nadto je</w:t>
      </w:r>
      <w:r>
        <w:rPr>
          <w:rFonts w:ascii="NobelCE Lt" w:hAnsi="NobelCE Lt"/>
          <w:iCs/>
          <w:szCs w:val="36"/>
        </w:rPr>
        <w:t>ště</w:t>
      </w:r>
      <w:r w:rsidRPr="0006755C">
        <w:rPr>
          <w:rFonts w:ascii="NobelCE Lt" w:hAnsi="NobelCE Lt"/>
          <w:iCs/>
          <w:szCs w:val="36"/>
        </w:rPr>
        <w:t xml:space="preserve"> Lexus</w:t>
      </w:r>
      <w:r>
        <w:rPr>
          <w:rFonts w:ascii="NobelCE Lt" w:hAnsi="NobelCE Lt"/>
          <w:iCs/>
          <w:szCs w:val="36"/>
        </w:rPr>
        <w:t xml:space="preserve"> nabízí také vlastní</w:t>
      </w:r>
      <w:r w:rsidRPr="0006755C">
        <w:rPr>
          <w:rFonts w:ascii="NobelCE Lt" w:hAnsi="NobelCE Lt"/>
          <w:iCs/>
          <w:szCs w:val="36"/>
        </w:rPr>
        <w:t xml:space="preserve"> elektrickou dotac</w:t>
      </w:r>
      <w:r>
        <w:rPr>
          <w:rFonts w:ascii="NobelCE Lt" w:hAnsi="NobelCE Lt"/>
          <w:iCs/>
          <w:szCs w:val="36"/>
        </w:rPr>
        <w:t>i</w:t>
      </w:r>
      <w:r w:rsidRPr="0006755C">
        <w:rPr>
          <w:rFonts w:ascii="NobelCE Lt" w:hAnsi="NobelCE Lt"/>
          <w:iCs/>
          <w:szCs w:val="36"/>
        </w:rPr>
        <w:t xml:space="preserve"> ve výši až 343 000 Kč vč. DPH. </w:t>
      </w:r>
    </w:p>
    <w:p w14:paraId="385D8D5E" w14:textId="78053340" w:rsidR="0006755C" w:rsidRDefault="0006755C" w:rsidP="0006755C"/>
    <w:p w14:paraId="338ADFD6" w14:textId="68129FCB" w:rsidR="0045566F" w:rsidRPr="00203970" w:rsidRDefault="00DB30A9" w:rsidP="0070437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2358A8">
      <w:pPr>
        <w:spacing w:before="120"/>
      </w:pPr>
      <w:hyperlink r:id="rId10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7F99" w14:textId="77777777" w:rsidR="00042AAD" w:rsidRDefault="00042AAD" w:rsidP="004B2E5C">
      <w:r>
        <w:separator/>
      </w:r>
    </w:p>
  </w:endnote>
  <w:endnote w:type="continuationSeparator" w:id="0">
    <w:p w14:paraId="0FB02D54" w14:textId="77777777" w:rsidR="00042AAD" w:rsidRDefault="00042AAD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panose1 w:val="02000503040000020004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2411" w14:textId="77777777" w:rsidR="00042AAD" w:rsidRDefault="00042AAD" w:rsidP="004B2E5C">
      <w:r>
        <w:separator/>
      </w:r>
    </w:p>
  </w:footnote>
  <w:footnote w:type="continuationSeparator" w:id="0">
    <w:p w14:paraId="2736919E" w14:textId="77777777" w:rsidR="00042AAD" w:rsidRDefault="00042AAD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B70BD"/>
    <w:multiLevelType w:val="hybridMultilevel"/>
    <w:tmpl w:val="7FD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17A0C"/>
    <w:multiLevelType w:val="hybridMultilevel"/>
    <w:tmpl w:val="21947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9"/>
  </w:num>
  <w:num w:numId="3" w16cid:durableId="940836426">
    <w:abstractNumId w:val="18"/>
  </w:num>
  <w:num w:numId="4" w16cid:durableId="990251026">
    <w:abstractNumId w:val="32"/>
  </w:num>
  <w:num w:numId="5" w16cid:durableId="1599293587">
    <w:abstractNumId w:val="29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2"/>
  </w:num>
  <w:num w:numId="10" w16cid:durableId="1275750443">
    <w:abstractNumId w:val="10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0"/>
  </w:num>
  <w:num w:numId="14" w16cid:durableId="1663923671">
    <w:abstractNumId w:val="28"/>
  </w:num>
  <w:num w:numId="15" w16cid:durableId="7100680">
    <w:abstractNumId w:val="16"/>
  </w:num>
  <w:num w:numId="16" w16cid:durableId="454718783">
    <w:abstractNumId w:val="26"/>
  </w:num>
  <w:num w:numId="17" w16cid:durableId="2076395397">
    <w:abstractNumId w:val="11"/>
  </w:num>
  <w:num w:numId="18" w16cid:durableId="592057441">
    <w:abstractNumId w:val="1"/>
  </w:num>
  <w:num w:numId="19" w16cid:durableId="1352414914">
    <w:abstractNumId w:val="13"/>
  </w:num>
  <w:num w:numId="20" w16cid:durableId="395906370">
    <w:abstractNumId w:val="6"/>
  </w:num>
  <w:num w:numId="21" w16cid:durableId="1080365589">
    <w:abstractNumId w:val="17"/>
  </w:num>
  <w:num w:numId="22" w16cid:durableId="1729571662">
    <w:abstractNumId w:val="24"/>
  </w:num>
  <w:num w:numId="23" w16cid:durableId="302740892">
    <w:abstractNumId w:val="8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20"/>
  </w:num>
  <w:num w:numId="28" w16cid:durableId="2005427123">
    <w:abstractNumId w:val="15"/>
  </w:num>
  <w:num w:numId="29" w16cid:durableId="68432079">
    <w:abstractNumId w:val="4"/>
  </w:num>
  <w:num w:numId="30" w16cid:durableId="1117024323">
    <w:abstractNumId w:val="19"/>
  </w:num>
  <w:num w:numId="31" w16cid:durableId="81873824">
    <w:abstractNumId w:val="14"/>
  </w:num>
  <w:num w:numId="32" w16cid:durableId="2082361587">
    <w:abstractNumId w:val="7"/>
  </w:num>
  <w:num w:numId="33" w16cid:durableId="3038516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2AAD"/>
    <w:rsid w:val="00043ACA"/>
    <w:rsid w:val="00046546"/>
    <w:rsid w:val="00047401"/>
    <w:rsid w:val="00063F04"/>
    <w:rsid w:val="0006755C"/>
    <w:rsid w:val="00080B62"/>
    <w:rsid w:val="000B525B"/>
    <w:rsid w:val="000C3701"/>
    <w:rsid w:val="000C3A47"/>
    <w:rsid w:val="000C5583"/>
    <w:rsid w:val="000E7D16"/>
    <w:rsid w:val="00104B2E"/>
    <w:rsid w:val="00107859"/>
    <w:rsid w:val="001237EB"/>
    <w:rsid w:val="001256D5"/>
    <w:rsid w:val="001377EF"/>
    <w:rsid w:val="00147513"/>
    <w:rsid w:val="00153344"/>
    <w:rsid w:val="00186FC8"/>
    <w:rsid w:val="001A7177"/>
    <w:rsid w:val="001B1ED6"/>
    <w:rsid w:val="001B4B6F"/>
    <w:rsid w:val="001D62B7"/>
    <w:rsid w:val="001D68F7"/>
    <w:rsid w:val="001E5F7A"/>
    <w:rsid w:val="001F0D52"/>
    <w:rsid w:val="0020040C"/>
    <w:rsid w:val="00203970"/>
    <w:rsid w:val="0021357B"/>
    <w:rsid w:val="00215FA5"/>
    <w:rsid w:val="002161FE"/>
    <w:rsid w:val="00225448"/>
    <w:rsid w:val="002358A8"/>
    <w:rsid w:val="0023654B"/>
    <w:rsid w:val="00237167"/>
    <w:rsid w:val="00265C9B"/>
    <w:rsid w:val="00271493"/>
    <w:rsid w:val="00295766"/>
    <w:rsid w:val="002A6479"/>
    <w:rsid w:val="002B0C31"/>
    <w:rsid w:val="002C3A81"/>
    <w:rsid w:val="002C4D42"/>
    <w:rsid w:val="002F1F27"/>
    <w:rsid w:val="002F58E8"/>
    <w:rsid w:val="00303049"/>
    <w:rsid w:val="003032F8"/>
    <w:rsid w:val="003154D4"/>
    <w:rsid w:val="003250DE"/>
    <w:rsid w:val="003254AE"/>
    <w:rsid w:val="00327C99"/>
    <w:rsid w:val="00331FF8"/>
    <w:rsid w:val="003524E8"/>
    <w:rsid w:val="00363291"/>
    <w:rsid w:val="00381085"/>
    <w:rsid w:val="003927E2"/>
    <w:rsid w:val="003A1142"/>
    <w:rsid w:val="003A3E89"/>
    <w:rsid w:val="003A6E24"/>
    <w:rsid w:val="003D1807"/>
    <w:rsid w:val="003E43A6"/>
    <w:rsid w:val="004140AF"/>
    <w:rsid w:val="00417CBB"/>
    <w:rsid w:val="00430C9C"/>
    <w:rsid w:val="0044408C"/>
    <w:rsid w:val="00452CCA"/>
    <w:rsid w:val="0045566F"/>
    <w:rsid w:val="004933C8"/>
    <w:rsid w:val="004A4E55"/>
    <w:rsid w:val="004B2E5C"/>
    <w:rsid w:val="004B582F"/>
    <w:rsid w:val="004B7296"/>
    <w:rsid w:val="004D0724"/>
    <w:rsid w:val="004D2656"/>
    <w:rsid w:val="004F74E4"/>
    <w:rsid w:val="005136D8"/>
    <w:rsid w:val="00524474"/>
    <w:rsid w:val="00525ED9"/>
    <w:rsid w:val="00535C90"/>
    <w:rsid w:val="00557BBB"/>
    <w:rsid w:val="0056493F"/>
    <w:rsid w:val="00570566"/>
    <w:rsid w:val="00571026"/>
    <w:rsid w:val="0057355D"/>
    <w:rsid w:val="00595939"/>
    <w:rsid w:val="005A0470"/>
    <w:rsid w:val="005A056D"/>
    <w:rsid w:val="005A068E"/>
    <w:rsid w:val="005D52E6"/>
    <w:rsid w:val="005E6C89"/>
    <w:rsid w:val="005E7EE1"/>
    <w:rsid w:val="005F589B"/>
    <w:rsid w:val="00612730"/>
    <w:rsid w:val="0063785B"/>
    <w:rsid w:val="00654A86"/>
    <w:rsid w:val="00667A6D"/>
    <w:rsid w:val="0067214E"/>
    <w:rsid w:val="006A3143"/>
    <w:rsid w:val="006C295A"/>
    <w:rsid w:val="006C3AD6"/>
    <w:rsid w:val="006C4B97"/>
    <w:rsid w:val="006E19E2"/>
    <w:rsid w:val="006E7F3D"/>
    <w:rsid w:val="0070437F"/>
    <w:rsid w:val="00706738"/>
    <w:rsid w:val="00726E60"/>
    <w:rsid w:val="00740E5B"/>
    <w:rsid w:val="00761FD1"/>
    <w:rsid w:val="00763832"/>
    <w:rsid w:val="00763968"/>
    <w:rsid w:val="007773C0"/>
    <w:rsid w:val="007859EF"/>
    <w:rsid w:val="0079609D"/>
    <w:rsid w:val="00797098"/>
    <w:rsid w:val="007A0B5D"/>
    <w:rsid w:val="007B44C9"/>
    <w:rsid w:val="007C6BD4"/>
    <w:rsid w:val="007C7895"/>
    <w:rsid w:val="007D7866"/>
    <w:rsid w:val="007E0900"/>
    <w:rsid w:val="00810CDD"/>
    <w:rsid w:val="008236E1"/>
    <w:rsid w:val="00833CA9"/>
    <w:rsid w:val="008443E0"/>
    <w:rsid w:val="008452A7"/>
    <w:rsid w:val="00867036"/>
    <w:rsid w:val="008738EF"/>
    <w:rsid w:val="00881116"/>
    <w:rsid w:val="00891CEB"/>
    <w:rsid w:val="00895145"/>
    <w:rsid w:val="008A12B2"/>
    <w:rsid w:val="008B4C70"/>
    <w:rsid w:val="008C014E"/>
    <w:rsid w:val="008C4034"/>
    <w:rsid w:val="008F2E6C"/>
    <w:rsid w:val="0090151D"/>
    <w:rsid w:val="0090180A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30732"/>
    <w:rsid w:val="00A526E2"/>
    <w:rsid w:val="00A73D55"/>
    <w:rsid w:val="00A76B4E"/>
    <w:rsid w:val="00A87C6A"/>
    <w:rsid w:val="00AC51BA"/>
    <w:rsid w:val="00AD0C2C"/>
    <w:rsid w:val="00AE2F91"/>
    <w:rsid w:val="00B00410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31663"/>
    <w:rsid w:val="00D37258"/>
    <w:rsid w:val="00D51FF4"/>
    <w:rsid w:val="00D57B9D"/>
    <w:rsid w:val="00D72D52"/>
    <w:rsid w:val="00D76090"/>
    <w:rsid w:val="00D853E2"/>
    <w:rsid w:val="00DB1A2C"/>
    <w:rsid w:val="00DB30A9"/>
    <w:rsid w:val="00DB3C62"/>
    <w:rsid w:val="00DF2291"/>
    <w:rsid w:val="00E0170F"/>
    <w:rsid w:val="00E03958"/>
    <w:rsid w:val="00E17114"/>
    <w:rsid w:val="00E233A1"/>
    <w:rsid w:val="00E255E2"/>
    <w:rsid w:val="00E52E1C"/>
    <w:rsid w:val="00E6757F"/>
    <w:rsid w:val="00E75BF5"/>
    <w:rsid w:val="00E75E54"/>
    <w:rsid w:val="00E75E8D"/>
    <w:rsid w:val="00E851BB"/>
    <w:rsid w:val="00EA5884"/>
    <w:rsid w:val="00EC38CF"/>
    <w:rsid w:val="00EC6C44"/>
    <w:rsid w:val="00EE2F7E"/>
    <w:rsid w:val="00EE3E39"/>
    <w:rsid w:val="00EE5FF9"/>
    <w:rsid w:val="00EE6EC2"/>
    <w:rsid w:val="00F05F03"/>
    <w:rsid w:val="00F06F70"/>
    <w:rsid w:val="00F13D1F"/>
    <w:rsid w:val="00F40798"/>
    <w:rsid w:val="00F41DF9"/>
    <w:rsid w:val="00F52971"/>
    <w:rsid w:val="00F66F6A"/>
    <w:rsid w:val="00F67015"/>
    <w:rsid w:val="00F753CD"/>
    <w:rsid w:val="00F87C11"/>
    <w:rsid w:val="00FA6F0C"/>
    <w:rsid w:val="00FA7F12"/>
    <w:rsid w:val="00FB2E06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jech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39B6-7FF9-4C45-ADC9-EB02CF41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947</Words>
  <Characters>5593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3</cp:revision>
  <dcterms:created xsi:type="dcterms:W3CDTF">2024-01-24T15:02:00Z</dcterms:created>
  <dcterms:modified xsi:type="dcterms:W3CDTF">2024-04-02T12:44:00Z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2023-12-13T16:26:57Z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a9ab8690-10fc-4a6c-8d9d-cddac300b3b0</vt:lpwstr>
  </property>
  <property fmtid="{D5CDD505-2E9C-101B-9397-08002B2CF9AE}" pid="14" name="MSIP_Label_b090d082-23a7-4efc-8d90-1a8b753b22b9_ContentBits">
    <vt:lpwstr>0</vt:lpwstr>
  </property>
</Properties>
</file>