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1" w:rsidRDefault="0037590C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46203413" r:id="rId8"/>
        </w:objec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:rsidR="00F87C11" w:rsidRDefault="00F23BA2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20</w:t>
      </w:r>
      <w:r w:rsidR="4A105BD3" w:rsidRPr="4A105BD3">
        <w:rPr>
          <w:rFonts w:ascii="NobelCE Lt" w:hAnsi="NobelCE Lt" w:cs="Arial"/>
        </w:rPr>
        <w:t xml:space="preserve">. </w:t>
      </w:r>
      <w:r w:rsidR="00D85BF8">
        <w:rPr>
          <w:rFonts w:ascii="NobelCE Lt" w:hAnsi="NobelCE Lt" w:cs="Arial"/>
        </w:rPr>
        <w:t>března</w:t>
      </w:r>
      <w:r w:rsidR="4A105BD3" w:rsidRPr="4A105BD3">
        <w:rPr>
          <w:rFonts w:ascii="NobelCE Lt" w:hAnsi="NobelCE Lt" w:cs="Arial"/>
        </w:rPr>
        <w:t xml:space="preserve"> 20</w:t>
      </w:r>
      <w:r w:rsidR="00203970">
        <w:rPr>
          <w:rFonts w:ascii="NobelCE Lt" w:hAnsi="NobelCE Lt" w:cs="Arial"/>
        </w:rPr>
        <w:t>20</w:t>
      </w:r>
    </w:p>
    <w:p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:rsidR="00D85BF8" w:rsidRDefault="00D85BF8" w:rsidP="003250DE">
      <w:pPr>
        <w:spacing w:before="100" w:beforeAutospacing="1" w:after="100" w:afterAutospacing="1"/>
        <w:jc w:val="both"/>
        <w:rPr>
          <w:rFonts w:ascii="NobelCE Bk" w:eastAsia="NobelCE Lt" w:hAnsi="NobelCE Bk" w:cs="NobelCE Lt"/>
          <w:b/>
          <w:bCs/>
          <w:sz w:val="52"/>
          <w:szCs w:val="52"/>
        </w:rPr>
      </w:pPr>
      <w:r w:rsidRPr="00D85BF8">
        <w:rPr>
          <w:rFonts w:ascii="NobelCE Bk" w:eastAsia="NobelCE Lt" w:hAnsi="NobelCE Bk" w:cs="NobelCE Lt"/>
          <w:b/>
          <w:bCs/>
          <w:sz w:val="52"/>
          <w:szCs w:val="52"/>
        </w:rPr>
        <w:t xml:space="preserve">PRVNÍ AUTO S TETOVÁNÍM </w:t>
      </w:r>
      <w:r w:rsidR="00647CC5">
        <w:rPr>
          <w:rFonts w:ascii="NobelCE Bk" w:eastAsia="NobelCE Lt" w:hAnsi="NobelCE Bk" w:cs="NobelCE Lt"/>
          <w:b/>
          <w:bCs/>
          <w:sz w:val="52"/>
          <w:szCs w:val="52"/>
        </w:rPr>
        <w:t>JE LEXUS UX</w:t>
      </w:r>
    </w:p>
    <w:p w:rsidR="00D85BF8" w:rsidRPr="004310FC" w:rsidRDefault="00D85BF8" w:rsidP="00BF05FB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 w:themeColor="text1"/>
        </w:rPr>
      </w:pPr>
      <w:r w:rsidRPr="00D85BF8">
        <w:rPr>
          <w:rFonts w:ascii="NobelCE Lt" w:hAnsi="NobelCE Lt"/>
          <w:b/>
          <w:bCs/>
          <w:color w:val="000000" w:themeColor="text1"/>
        </w:rPr>
        <w:t xml:space="preserve">Lexus </w:t>
      </w:r>
      <w:r w:rsidR="000A2FA0">
        <w:rPr>
          <w:rFonts w:ascii="NobelCE Lt" w:hAnsi="NobelCE Lt"/>
          <w:b/>
          <w:bCs/>
          <w:color w:val="000000" w:themeColor="text1"/>
        </w:rPr>
        <w:t xml:space="preserve">představil </w:t>
      </w:r>
      <w:r w:rsidRPr="00D85BF8">
        <w:rPr>
          <w:rFonts w:ascii="NobelCE Lt" w:hAnsi="NobelCE Lt"/>
          <w:b/>
          <w:bCs/>
          <w:color w:val="000000" w:themeColor="text1"/>
        </w:rPr>
        <w:t>celosvětov</w:t>
      </w:r>
      <w:r w:rsidR="000A2FA0">
        <w:rPr>
          <w:rFonts w:ascii="NobelCE Lt" w:hAnsi="NobelCE Lt"/>
          <w:b/>
          <w:bCs/>
          <w:color w:val="000000" w:themeColor="text1"/>
        </w:rPr>
        <w:t>ě</w:t>
      </w:r>
      <w:r w:rsidRPr="00D85BF8">
        <w:rPr>
          <w:rFonts w:ascii="NobelCE Lt" w:hAnsi="NobelCE Lt"/>
          <w:b/>
          <w:bCs/>
          <w:color w:val="000000" w:themeColor="text1"/>
        </w:rPr>
        <w:t xml:space="preserve"> první v</w:t>
      </w:r>
      <w:r w:rsidR="000A2FA0">
        <w:rPr>
          <w:rFonts w:ascii="NobelCE Lt" w:hAnsi="NobelCE Lt"/>
          <w:b/>
          <w:bCs/>
          <w:color w:val="000000" w:themeColor="text1"/>
        </w:rPr>
        <w:t>ůz</w:t>
      </w:r>
      <w:r w:rsidRPr="00D85BF8">
        <w:rPr>
          <w:rFonts w:ascii="NobelCE Lt" w:hAnsi="NobelCE Lt"/>
          <w:b/>
          <w:bCs/>
          <w:color w:val="000000" w:themeColor="text1"/>
        </w:rPr>
        <w:t xml:space="preserve"> s tetováním. </w:t>
      </w:r>
      <w:r w:rsidR="000A2FA0">
        <w:rPr>
          <w:rFonts w:ascii="NobelCE Lt" w:hAnsi="NobelCE Lt"/>
          <w:b/>
          <w:bCs/>
          <w:color w:val="000000" w:themeColor="text1"/>
        </w:rPr>
        <w:t>N</w:t>
      </w:r>
      <w:r w:rsidRPr="00D85BF8">
        <w:rPr>
          <w:rFonts w:ascii="NobelCE Lt" w:hAnsi="NobelCE Lt"/>
          <w:b/>
          <w:bCs/>
          <w:color w:val="000000" w:themeColor="text1"/>
        </w:rPr>
        <w:t xml:space="preserve">avrhla </w:t>
      </w:r>
      <w:r w:rsidR="000A2FA0">
        <w:rPr>
          <w:rFonts w:ascii="NobelCE Lt" w:hAnsi="NobelCE Lt"/>
          <w:b/>
          <w:bCs/>
          <w:color w:val="000000" w:themeColor="text1"/>
        </w:rPr>
        <w:t>je</w:t>
      </w:r>
      <w:r w:rsidR="00F23BA2">
        <w:rPr>
          <w:rFonts w:ascii="NobelCE Lt" w:hAnsi="NobelCE Lt"/>
          <w:b/>
          <w:bCs/>
          <w:color w:val="000000" w:themeColor="text1"/>
        </w:rPr>
        <w:t>j</w:t>
      </w:r>
      <w:r w:rsidR="000A2FA0">
        <w:rPr>
          <w:rFonts w:ascii="NobelCE Lt" w:hAnsi="NobelCE Lt"/>
          <w:b/>
          <w:bCs/>
          <w:color w:val="000000" w:themeColor="text1"/>
        </w:rPr>
        <w:t xml:space="preserve"> </w:t>
      </w:r>
      <w:r w:rsidRPr="00D85BF8">
        <w:rPr>
          <w:rFonts w:ascii="NobelCE Lt" w:hAnsi="NobelCE Lt"/>
          <w:b/>
          <w:bCs/>
          <w:color w:val="000000" w:themeColor="text1"/>
        </w:rPr>
        <w:t>a vytvořila přední umělecká tatérka Claudia De Sabe z</w:t>
      </w:r>
      <w:r w:rsidR="000A2FA0">
        <w:rPr>
          <w:rFonts w:ascii="NobelCE Lt" w:hAnsi="NobelCE Lt"/>
          <w:b/>
          <w:bCs/>
          <w:color w:val="000000" w:themeColor="text1"/>
        </w:rPr>
        <w:t> </w:t>
      </w:r>
      <w:r w:rsidRPr="00D85BF8">
        <w:rPr>
          <w:rFonts w:ascii="NobelCE Lt" w:hAnsi="NobelCE Lt"/>
          <w:b/>
          <w:bCs/>
          <w:color w:val="000000" w:themeColor="text1"/>
        </w:rPr>
        <w:t>Londýna</w:t>
      </w:r>
      <w:r w:rsidR="000A2FA0">
        <w:rPr>
          <w:rFonts w:ascii="NobelCE Lt" w:hAnsi="NobelCE Lt"/>
          <w:b/>
          <w:bCs/>
          <w:color w:val="000000" w:themeColor="text1"/>
        </w:rPr>
        <w:t xml:space="preserve"> </w:t>
      </w:r>
      <w:r w:rsidR="004310FC">
        <w:rPr>
          <w:rFonts w:ascii="NobelCE Lt" w:hAnsi="NobelCE Lt"/>
          <w:b/>
          <w:bCs/>
          <w:color w:val="000000" w:themeColor="text1"/>
        </w:rPr>
        <w:t>a</w:t>
      </w:r>
      <w:r w:rsidR="000A2FA0">
        <w:rPr>
          <w:rFonts w:ascii="NobelCE Lt" w:hAnsi="NobelCE Lt"/>
          <w:b/>
          <w:bCs/>
          <w:color w:val="000000" w:themeColor="text1"/>
        </w:rPr>
        <w:t xml:space="preserve"> využila k tomu kompaktní model Lexus UX </w:t>
      </w:r>
      <w:r w:rsidR="000A2FA0" w:rsidRPr="004310FC">
        <w:rPr>
          <w:rFonts w:ascii="NobelCE Lt" w:hAnsi="NobelCE Lt"/>
          <w:b/>
          <w:bCs/>
          <w:szCs w:val="36"/>
        </w:rPr>
        <w:t>v čistě bílém provedení.</w:t>
      </w:r>
    </w:p>
    <w:p w:rsidR="00D85BF8" w:rsidRPr="00D85BF8" w:rsidRDefault="000A2FA0" w:rsidP="00D85BF8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N</w:t>
      </w:r>
      <w:r w:rsidR="00D85BF8" w:rsidRPr="00D85BF8">
        <w:rPr>
          <w:rFonts w:ascii="NobelCE Lt" w:hAnsi="NobelCE Lt"/>
          <w:szCs w:val="36"/>
        </w:rPr>
        <w:t>amísto tetovací jehly použila mini vrtačku Dremel</w:t>
      </w:r>
      <w:r w:rsidR="004310FC">
        <w:rPr>
          <w:rFonts w:ascii="NobelCE Lt" w:hAnsi="NobelCE Lt"/>
          <w:szCs w:val="36"/>
        </w:rPr>
        <w:t xml:space="preserve"> a</w:t>
      </w:r>
      <w:r w:rsidR="00D85BF8" w:rsidRPr="00D85BF8">
        <w:rPr>
          <w:rFonts w:ascii="NobelCE Lt" w:hAnsi="NobelCE Lt"/>
          <w:szCs w:val="36"/>
        </w:rPr>
        <w:t xml:space="preserve"> </w:t>
      </w:r>
      <w:r w:rsidR="00343681">
        <w:rPr>
          <w:rFonts w:ascii="NobelCE Lt" w:hAnsi="NobelCE Lt"/>
          <w:szCs w:val="36"/>
        </w:rPr>
        <w:t xml:space="preserve">s ní na </w:t>
      </w:r>
      <w:r w:rsidR="00D85BF8" w:rsidRPr="00D85BF8">
        <w:rPr>
          <w:rFonts w:ascii="NobelCE Lt" w:hAnsi="NobelCE Lt"/>
          <w:szCs w:val="36"/>
        </w:rPr>
        <w:t xml:space="preserve">karoserii </w:t>
      </w:r>
      <w:r w:rsidR="00343681">
        <w:rPr>
          <w:rFonts w:ascii="NobelCE Lt" w:hAnsi="NobelCE Lt"/>
          <w:szCs w:val="36"/>
        </w:rPr>
        <w:t>znázornila</w:t>
      </w:r>
      <w:r w:rsidR="00D85BF8" w:rsidRPr="00D85BF8">
        <w:rPr>
          <w:rFonts w:ascii="NobelCE Lt" w:hAnsi="NobelCE Lt"/>
          <w:szCs w:val="36"/>
        </w:rPr>
        <w:t xml:space="preserve"> </w:t>
      </w:r>
      <w:r>
        <w:rPr>
          <w:rFonts w:ascii="NobelCE Lt" w:hAnsi="NobelCE Lt"/>
          <w:szCs w:val="36"/>
        </w:rPr>
        <w:t>m</w:t>
      </w:r>
      <w:r w:rsidRPr="00D85BF8">
        <w:rPr>
          <w:rFonts w:ascii="NobelCE Lt" w:hAnsi="NobelCE Lt"/>
          <w:szCs w:val="36"/>
        </w:rPr>
        <w:t>otiv kapr</w:t>
      </w:r>
      <w:r w:rsidR="00F23BA2">
        <w:rPr>
          <w:rFonts w:ascii="NobelCE Lt" w:hAnsi="NobelCE Lt"/>
          <w:szCs w:val="36"/>
        </w:rPr>
        <w:t>a</w:t>
      </w:r>
      <w:r w:rsidRPr="00D85BF8">
        <w:rPr>
          <w:rFonts w:ascii="NobelCE Lt" w:hAnsi="NobelCE Lt"/>
          <w:szCs w:val="36"/>
        </w:rPr>
        <w:t xml:space="preserve"> koi</w:t>
      </w:r>
      <w:r>
        <w:rPr>
          <w:rFonts w:ascii="NobelCE Lt" w:hAnsi="NobelCE Lt"/>
          <w:szCs w:val="36"/>
        </w:rPr>
        <w:t xml:space="preserve"> představující tradiční</w:t>
      </w:r>
      <w:r w:rsidRPr="00D85BF8">
        <w:rPr>
          <w:rFonts w:ascii="NobelCE Lt" w:hAnsi="NobelCE Lt"/>
          <w:szCs w:val="36"/>
        </w:rPr>
        <w:t xml:space="preserve"> japonské umění</w:t>
      </w:r>
      <w:r>
        <w:rPr>
          <w:rFonts w:ascii="NobelCE Lt" w:hAnsi="NobelCE Lt"/>
          <w:szCs w:val="36"/>
        </w:rPr>
        <w:t xml:space="preserve"> znázorňující </w:t>
      </w:r>
      <w:r w:rsidRPr="00D85BF8">
        <w:rPr>
          <w:rFonts w:ascii="NobelCE Lt" w:hAnsi="NobelCE Lt"/>
          <w:szCs w:val="36"/>
        </w:rPr>
        <w:t>hodnoty štěstí a vytrvalosti.</w:t>
      </w:r>
      <w:r>
        <w:rPr>
          <w:rFonts w:ascii="NobelCE Lt" w:hAnsi="NobelCE Lt"/>
          <w:szCs w:val="36"/>
        </w:rPr>
        <w:t xml:space="preserve"> </w:t>
      </w:r>
    </w:p>
    <w:p w:rsidR="004310FC" w:rsidRDefault="000A2FA0" w:rsidP="00D85BF8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Tatérka</w:t>
      </w:r>
      <w:r w:rsidR="00D85BF8" w:rsidRPr="00D85BF8">
        <w:rPr>
          <w:rFonts w:ascii="NobelCE Lt" w:hAnsi="NobelCE Lt"/>
          <w:szCs w:val="36"/>
        </w:rPr>
        <w:t xml:space="preserve"> pomocí vrtačky </w:t>
      </w:r>
      <w:r w:rsidR="004310FC">
        <w:rPr>
          <w:rFonts w:ascii="NobelCE Lt" w:hAnsi="NobelCE Lt"/>
          <w:szCs w:val="36"/>
        </w:rPr>
        <w:t>o</w:t>
      </w:r>
      <w:r w:rsidR="00D85BF8" w:rsidRPr="00D85BF8">
        <w:rPr>
          <w:rFonts w:ascii="NobelCE Lt" w:hAnsi="NobelCE Lt"/>
          <w:szCs w:val="36"/>
        </w:rPr>
        <w:t>dstranila povrchový pigment, aby odhalila podkladový kov a vytvořila komplexní vzor</w:t>
      </w:r>
      <w:r w:rsidR="00A2261C">
        <w:rPr>
          <w:rFonts w:ascii="NobelCE Lt" w:hAnsi="NobelCE Lt"/>
          <w:szCs w:val="36"/>
        </w:rPr>
        <w:t>. P</w:t>
      </w:r>
      <w:r w:rsidR="00D85BF8" w:rsidRPr="00D85BF8">
        <w:rPr>
          <w:rFonts w:ascii="NobelCE Lt" w:hAnsi="NobelCE Lt"/>
          <w:szCs w:val="36"/>
        </w:rPr>
        <w:t xml:space="preserve">oté ručně nanesla pět litrů vysoce kvalitního autolaku ke zvýraznění detailů. </w:t>
      </w:r>
    </w:p>
    <w:p w:rsidR="00D85BF8" w:rsidRDefault="00D85BF8" w:rsidP="00D85BF8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D85BF8">
        <w:rPr>
          <w:rFonts w:ascii="NobelCE Lt" w:hAnsi="NobelCE Lt"/>
          <w:szCs w:val="36"/>
        </w:rPr>
        <w:t xml:space="preserve">Jako finální úpravu </w:t>
      </w:r>
      <w:r w:rsidR="00A2261C">
        <w:rPr>
          <w:rFonts w:ascii="NobelCE Lt" w:hAnsi="NobelCE Lt"/>
          <w:szCs w:val="36"/>
        </w:rPr>
        <w:t xml:space="preserve">doladila klíčové prvky </w:t>
      </w:r>
      <w:r w:rsidRPr="00D85BF8">
        <w:rPr>
          <w:rFonts w:ascii="NobelCE Lt" w:hAnsi="NobelCE Lt"/>
          <w:szCs w:val="36"/>
        </w:rPr>
        <w:t xml:space="preserve">a </w:t>
      </w:r>
      <w:r w:rsidR="00A2261C">
        <w:rPr>
          <w:rFonts w:ascii="NobelCE Lt" w:hAnsi="NobelCE Lt"/>
          <w:szCs w:val="36"/>
        </w:rPr>
        <w:t>snažila se o dosažení</w:t>
      </w:r>
      <w:r w:rsidRPr="00D85BF8">
        <w:rPr>
          <w:rFonts w:ascii="NobelCE Lt" w:hAnsi="NobelCE Lt"/>
          <w:szCs w:val="36"/>
        </w:rPr>
        <w:t xml:space="preserve"> výraznějšího 3D efektu</w:t>
      </w:r>
      <w:r>
        <w:rPr>
          <w:rFonts w:ascii="NobelCE Lt" w:hAnsi="NobelCE Lt"/>
          <w:szCs w:val="36"/>
        </w:rPr>
        <w:t>,</w:t>
      </w:r>
      <w:r w:rsidRPr="00D85BF8">
        <w:rPr>
          <w:rFonts w:ascii="NobelCE Lt" w:hAnsi="NobelCE Lt"/>
          <w:szCs w:val="36"/>
        </w:rPr>
        <w:t xml:space="preserve"> následně vůz dostal ochranný lak, aby mohl vyjet do běžného provozu. </w:t>
      </w:r>
    </w:p>
    <w:p w:rsidR="00343681" w:rsidRPr="00343681" w:rsidRDefault="00343681" w:rsidP="00D85BF8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343681">
        <w:rPr>
          <w:rFonts w:ascii="NobelCE Lt" w:hAnsi="NobelCE Lt"/>
          <w:b/>
          <w:bCs/>
          <w:szCs w:val="36"/>
        </w:rPr>
        <w:t>Pět osmihodinových směn práce</w:t>
      </w:r>
    </w:p>
    <w:p w:rsidR="00343681" w:rsidRDefault="00D85BF8" w:rsidP="00D85BF8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D85BF8">
        <w:rPr>
          <w:rFonts w:ascii="NobelCE Lt" w:hAnsi="NobelCE Lt"/>
          <w:szCs w:val="36"/>
        </w:rPr>
        <w:t xml:space="preserve">Celý postup od prvotního nákresu si vyžádal šest měsíců, samotné „tetování“ zabralo pět osmihodinových směn intenzivní práce. Práce byla fyzicky náročná s ohledem na vibrace vrtačky a samotný objekt, který na rozdíl od člověka nebylo možné během práce natáčet do pohodlnější pozice. </w:t>
      </w:r>
    </w:p>
    <w:p w:rsidR="00D85BF8" w:rsidRDefault="00D85BF8" w:rsidP="00D85BF8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D85BF8">
        <w:rPr>
          <w:rFonts w:ascii="NobelCE Lt" w:hAnsi="NobelCE Lt"/>
          <w:szCs w:val="36"/>
        </w:rPr>
        <w:t>Zatímco drobné nepřesnosti u tetování člověka lze snadno zapracovat nebo zabarvit do celkového vzoru, „rytina“ vytvářená pomocí mini vrtačky si žádá absolutní přesnost.</w:t>
      </w:r>
    </w:p>
    <w:p w:rsidR="00647CC5" w:rsidRPr="00647CC5" w:rsidRDefault="00647CC5" w:rsidP="00D85BF8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647CC5">
        <w:rPr>
          <w:rFonts w:ascii="NobelCE Lt" w:hAnsi="NobelCE Lt"/>
          <w:b/>
          <w:bCs/>
          <w:szCs w:val="36"/>
        </w:rPr>
        <w:t xml:space="preserve">Odhad ceny? Skoro čtyři miliony </w:t>
      </w:r>
    </w:p>
    <w:p w:rsidR="004310FC" w:rsidRDefault="00D85BF8" w:rsidP="00D85BF8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D85BF8">
        <w:rPr>
          <w:rFonts w:ascii="NobelCE Lt" w:hAnsi="NobelCE Lt"/>
          <w:szCs w:val="36"/>
        </w:rPr>
        <w:t>Tetované UX sice nenese žádnou cenovku, ale odhaduje se, že zakázková práce by stála více než 120 tisíc liber</w:t>
      </w:r>
      <w:r w:rsidR="00647CC5">
        <w:rPr>
          <w:rFonts w:ascii="NobelCE Lt" w:hAnsi="NobelCE Lt"/>
          <w:szCs w:val="36"/>
        </w:rPr>
        <w:t>, v přepočtu okolo 3,6 milionu korun</w:t>
      </w:r>
      <w:r w:rsidRPr="00D85BF8">
        <w:rPr>
          <w:rFonts w:ascii="NobelCE Lt" w:hAnsi="NobelCE Lt"/>
          <w:szCs w:val="36"/>
        </w:rPr>
        <w:t>.</w:t>
      </w:r>
      <w:r w:rsidR="004310FC">
        <w:rPr>
          <w:rFonts w:ascii="NobelCE Lt" w:hAnsi="NobelCE Lt"/>
          <w:szCs w:val="36"/>
        </w:rPr>
        <w:t xml:space="preserve"> </w:t>
      </w:r>
      <w:r w:rsidRPr="00D85BF8">
        <w:rPr>
          <w:rFonts w:ascii="NobelCE Lt" w:hAnsi="NobelCE Lt"/>
          <w:szCs w:val="36"/>
        </w:rPr>
        <w:t xml:space="preserve">Své umění Claudia </w:t>
      </w:r>
      <w:r w:rsidR="00343681">
        <w:rPr>
          <w:rFonts w:ascii="NobelCE Lt" w:hAnsi="NobelCE Lt"/>
          <w:szCs w:val="36"/>
        </w:rPr>
        <w:t xml:space="preserve">de Sabe </w:t>
      </w:r>
      <w:r w:rsidRPr="00D85BF8">
        <w:rPr>
          <w:rFonts w:ascii="NobelCE Lt" w:hAnsi="NobelCE Lt"/>
          <w:szCs w:val="36"/>
        </w:rPr>
        <w:t>promítla na kov namísto lidské pokožky vůbec poprvé</w:t>
      </w:r>
      <w:r w:rsidR="004310FC">
        <w:rPr>
          <w:rFonts w:ascii="NobelCE Lt" w:hAnsi="NobelCE Lt"/>
          <w:szCs w:val="36"/>
        </w:rPr>
        <w:t>.</w:t>
      </w:r>
    </w:p>
    <w:p w:rsidR="00343681" w:rsidRDefault="00D85BF8" w:rsidP="00D85BF8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D85BF8">
        <w:rPr>
          <w:rFonts w:ascii="NobelCE Lt" w:hAnsi="NobelCE Lt"/>
          <w:i/>
          <w:iCs/>
          <w:szCs w:val="36"/>
        </w:rPr>
        <w:t>„Když tetujete člověka, musíte přemýšlet o svalech a tkáni pod pokožkou. U vozidla zase záleží na změnách tvarů karoserie v celkovém rámci</w:t>
      </w:r>
      <w:r w:rsidR="004310FC">
        <w:rPr>
          <w:rFonts w:ascii="NobelCE Lt" w:hAnsi="NobelCE Lt"/>
          <w:i/>
          <w:iCs/>
          <w:szCs w:val="36"/>
        </w:rPr>
        <w:t xml:space="preserve">. </w:t>
      </w:r>
      <w:r w:rsidRPr="00D85BF8">
        <w:rPr>
          <w:rFonts w:ascii="NobelCE Lt" w:hAnsi="NobelCE Lt"/>
          <w:i/>
          <w:iCs/>
          <w:szCs w:val="36"/>
        </w:rPr>
        <w:t>Lexus UX je k tomuto projektu ideální</w:t>
      </w:r>
      <w:r w:rsidR="00343681">
        <w:rPr>
          <w:rFonts w:ascii="NobelCE Lt" w:hAnsi="NobelCE Lt"/>
          <w:i/>
          <w:iCs/>
          <w:szCs w:val="36"/>
        </w:rPr>
        <w:t xml:space="preserve"> pro</w:t>
      </w:r>
      <w:r w:rsidRPr="00D85BF8">
        <w:rPr>
          <w:rFonts w:ascii="NobelCE Lt" w:hAnsi="NobelCE Lt"/>
          <w:i/>
          <w:iCs/>
          <w:szCs w:val="36"/>
        </w:rPr>
        <w:t xml:space="preserve"> jeho aerodynamický tvar. Vše od křivek </w:t>
      </w:r>
      <w:r w:rsidR="00F23BA2">
        <w:rPr>
          <w:rFonts w:ascii="NobelCE Lt" w:hAnsi="NobelCE Lt"/>
          <w:i/>
          <w:iCs/>
          <w:szCs w:val="36"/>
        </w:rPr>
        <w:t>na</w:t>
      </w:r>
      <w:r w:rsidRPr="00D85BF8">
        <w:rPr>
          <w:rFonts w:ascii="NobelCE Lt" w:hAnsi="NobelCE Lt"/>
          <w:i/>
          <w:iCs/>
          <w:szCs w:val="36"/>
        </w:rPr>
        <w:t xml:space="preserve"> bocích karoserie až po tvar okének, vše je dynamické a krásné,“</w:t>
      </w:r>
      <w:r w:rsidRPr="00D85BF8">
        <w:rPr>
          <w:rFonts w:ascii="NobelCE Lt" w:hAnsi="NobelCE Lt"/>
          <w:szCs w:val="36"/>
        </w:rPr>
        <w:t xml:space="preserve"> uvedla Claudia</w:t>
      </w:r>
      <w:r w:rsidR="00343681" w:rsidRPr="00343681">
        <w:rPr>
          <w:rFonts w:ascii="NobelCE Lt" w:hAnsi="NobelCE Lt"/>
          <w:szCs w:val="36"/>
        </w:rPr>
        <w:t xml:space="preserve"> </w:t>
      </w:r>
      <w:r w:rsidR="00343681">
        <w:rPr>
          <w:rFonts w:ascii="NobelCE Lt" w:hAnsi="NobelCE Lt"/>
          <w:szCs w:val="36"/>
        </w:rPr>
        <w:t>de Sabe</w:t>
      </w:r>
      <w:r w:rsidR="00343681" w:rsidRPr="00D85BF8">
        <w:rPr>
          <w:rFonts w:ascii="NobelCE Lt" w:hAnsi="NobelCE Lt"/>
          <w:szCs w:val="36"/>
        </w:rPr>
        <w:t>, které při práci asistoval její manžel</w:t>
      </w:r>
      <w:r w:rsidR="00F23BA2">
        <w:rPr>
          <w:rFonts w:ascii="NobelCE Lt" w:hAnsi="NobelCE Lt"/>
          <w:szCs w:val="36"/>
        </w:rPr>
        <w:t>,</w:t>
      </w:r>
      <w:r w:rsidR="00343681" w:rsidRPr="00D85BF8">
        <w:rPr>
          <w:rFonts w:ascii="NobelCE Lt" w:hAnsi="NobelCE Lt"/>
          <w:szCs w:val="36"/>
        </w:rPr>
        <w:t xml:space="preserve"> původem z Japonska.</w:t>
      </w:r>
    </w:p>
    <w:p w:rsidR="00343681" w:rsidRDefault="00D85BF8" w:rsidP="00D85BF8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D85BF8">
        <w:rPr>
          <w:rFonts w:ascii="NobelCE Lt" w:hAnsi="NobelCE Lt"/>
          <w:szCs w:val="36"/>
        </w:rPr>
        <w:lastRenderedPageBreak/>
        <w:t xml:space="preserve">Projekt vzdává hold řemeslnému zpracování takumi, které je nedílnou součástí každého vozu Lexus, o čemž svědčí detaily designu a bezchybné provedení. </w:t>
      </w:r>
    </w:p>
    <w:p w:rsidR="00D85BF8" w:rsidRDefault="00D85BF8" w:rsidP="00D85BF8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D85BF8">
        <w:rPr>
          <w:rFonts w:ascii="NobelCE Lt" w:hAnsi="NobelCE Lt"/>
          <w:szCs w:val="36"/>
        </w:rPr>
        <w:t>Lexus stejnou měrou promítá do designu svých vozidel tradiční japonské estetické kvality</w:t>
      </w:r>
      <w:r w:rsidR="00F23BA2">
        <w:rPr>
          <w:rFonts w:ascii="NobelCE Lt" w:hAnsi="NobelCE Lt"/>
          <w:szCs w:val="36"/>
        </w:rPr>
        <w:t>, což je viditelné např.</w:t>
      </w:r>
      <w:r w:rsidRPr="00D85BF8">
        <w:rPr>
          <w:rFonts w:ascii="NobelCE Lt" w:hAnsi="NobelCE Lt"/>
          <w:szCs w:val="36"/>
        </w:rPr>
        <w:t xml:space="preserve"> u obkladů kabiny UX s texturou papíru </w:t>
      </w:r>
      <w:r w:rsidR="00647CC5">
        <w:rPr>
          <w:rFonts w:ascii="NobelCE Lt" w:hAnsi="NobelCE Lt"/>
          <w:szCs w:val="36"/>
        </w:rPr>
        <w:t xml:space="preserve">zvaného </w:t>
      </w:r>
      <w:r w:rsidRPr="00D85BF8">
        <w:rPr>
          <w:rFonts w:ascii="NobelCE Lt" w:hAnsi="NobelCE Lt"/>
          <w:szCs w:val="36"/>
        </w:rPr>
        <w:t>washi nebo hladkého spojení interiéru a exteriéru prostřednictvím čelního skla</w:t>
      </w:r>
      <w:r w:rsidR="00647CC5">
        <w:rPr>
          <w:rFonts w:ascii="NobelCE Lt" w:hAnsi="NobelCE Lt"/>
          <w:szCs w:val="36"/>
        </w:rPr>
        <w:t xml:space="preserve">. To poukazuje </w:t>
      </w:r>
      <w:r w:rsidRPr="00D85BF8">
        <w:rPr>
          <w:rFonts w:ascii="NobelCE Lt" w:hAnsi="NobelCE Lt"/>
          <w:szCs w:val="36"/>
        </w:rPr>
        <w:t>na architekturu japonských domů</w:t>
      </w:r>
      <w:r w:rsidR="00647CC5">
        <w:rPr>
          <w:rFonts w:ascii="NobelCE Lt" w:hAnsi="NobelCE Lt"/>
          <w:szCs w:val="36"/>
        </w:rPr>
        <w:t xml:space="preserve"> zvan</w:t>
      </w:r>
      <w:r w:rsidR="00211583">
        <w:rPr>
          <w:rFonts w:ascii="NobelCE Lt" w:hAnsi="NobelCE Lt"/>
          <w:szCs w:val="36"/>
        </w:rPr>
        <w:t>ou</w:t>
      </w:r>
      <w:bookmarkStart w:id="0" w:name="_GoBack"/>
      <w:bookmarkEnd w:id="0"/>
      <w:r w:rsidR="00647CC5">
        <w:rPr>
          <w:rFonts w:ascii="NobelCE Lt" w:hAnsi="NobelCE Lt"/>
          <w:szCs w:val="36"/>
        </w:rPr>
        <w:t xml:space="preserve"> </w:t>
      </w:r>
      <w:r w:rsidR="00647CC5" w:rsidRPr="00D85BF8">
        <w:rPr>
          <w:rFonts w:ascii="NobelCE Lt" w:hAnsi="NobelCE Lt"/>
          <w:szCs w:val="36"/>
        </w:rPr>
        <w:t>engawa</w:t>
      </w:r>
      <w:r w:rsidR="00647CC5">
        <w:rPr>
          <w:rFonts w:ascii="NobelCE Lt" w:hAnsi="NobelCE Lt"/>
          <w:szCs w:val="36"/>
        </w:rPr>
        <w:t>.</w:t>
      </w:r>
    </w:p>
    <w:p w:rsidR="00F23BA2" w:rsidRDefault="00F23BA2" w:rsidP="00D85BF8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p w:rsidR="0045566F" w:rsidRPr="00203970" w:rsidRDefault="00DB30A9" w:rsidP="00D85BF8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:rsidR="00F87C11" w:rsidRPr="00D85BF8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:rsidR="00F23BA2" w:rsidRDefault="00F23BA2">
      <w:pPr>
        <w:spacing w:before="120"/>
        <w:rPr>
          <w:rFonts w:ascii="NobelCE Lt" w:hAnsi="NobelCE Lt" w:cs="Arial"/>
          <w:b/>
          <w:bCs/>
          <w:szCs w:val="22"/>
        </w:rPr>
      </w:pPr>
    </w:p>
    <w:p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:rsidR="00F87C11" w:rsidRDefault="00F87C11">
      <w:pPr>
        <w:spacing w:before="120"/>
        <w:rPr>
          <w:rFonts w:ascii="NobelCE Lt" w:hAnsi="NobelCE Lt" w:cs="Arial"/>
          <w:szCs w:val="22"/>
        </w:rPr>
      </w:pPr>
    </w:p>
    <w:p w:rsidR="00F87C11" w:rsidRPr="00F23BA2" w:rsidRDefault="00DB30A9">
      <w:pPr>
        <w:spacing w:before="120"/>
        <w:rPr>
          <w:rFonts w:ascii="NobelCE Lt" w:hAnsi="NobelCE Lt"/>
          <w:szCs w:val="22"/>
          <w:lang w:eastAsia="cs-CZ"/>
        </w:rPr>
      </w:pPr>
      <w:r w:rsidRPr="00F23BA2">
        <w:rPr>
          <w:rFonts w:ascii="NobelCE Lt" w:hAnsi="NobelCE Lt"/>
          <w:szCs w:val="22"/>
          <w:lang w:eastAsia="cs-CZ"/>
        </w:rPr>
        <w:t>Phone: +420 222 992 209</w:t>
      </w:r>
    </w:p>
    <w:p w:rsidR="00F87C11" w:rsidRPr="00F23BA2" w:rsidRDefault="00DB30A9">
      <w:pPr>
        <w:spacing w:before="120"/>
        <w:rPr>
          <w:rFonts w:ascii="NobelCE Lt" w:hAnsi="NobelCE Lt"/>
          <w:szCs w:val="22"/>
          <w:lang w:eastAsia="cs-CZ"/>
        </w:rPr>
      </w:pPr>
      <w:r w:rsidRPr="00F23BA2">
        <w:rPr>
          <w:rFonts w:ascii="NobelCE Lt" w:hAnsi="NobelCE Lt"/>
          <w:szCs w:val="22"/>
          <w:lang w:eastAsia="cs-CZ"/>
        </w:rPr>
        <w:t>Mobile: +420 731 626 250</w:t>
      </w:r>
    </w:p>
    <w:p w:rsidR="00F87C11" w:rsidRDefault="00407C15">
      <w:pPr>
        <w:spacing w:before="120"/>
      </w:pPr>
      <w:hyperlink r:id="rId9">
        <w:r w:rsidR="00DB30A9" w:rsidRPr="00F23BA2">
          <w:rPr>
            <w:rStyle w:val="Internetovodkaz"/>
            <w:rFonts w:ascii="NobelCE Lt" w:hAnsi="NobelCE Lt"/>
            <w:szCs w:val="22"/>
            <w:lang w:eastAsia="cs-CZ"/>
          </w:rPr>
          <w:t>jitka.jechova@toyota-ce.com</w:t>
        </w:r>
      </w:hyperlink>
      <w:r w:rsidR="00DB30A9" w:rsidRPr="00F23BA2">
        <w:rPr>
          <w:rFonts w:ascii="NobelCE Lt" w:hAnsi="NobelCE Lt"/>
          <w:szCs w:val="22"/>
          <w:lang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15" w:rsidRDefault="00407C15" w:rsidP="004B2E5C">
      <w:r>
        <w:separator/>
      </w:r>
    </w:p>
  </w:endnote>
  <w:endnote w:type="continuationSeparator" w:id="0">
    <w:p w:rsidR="00407C15" w:rsidRDefault="00407C15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15" w:rsidRDefault="00407C15" w:rsidP="004B2E5C">
      <w:r>
        <w:separator/>
      </w:r>
    </w:p>
  </w:footnote>
  <w:footnote w:type="continuationSeparator" w:id="0">
    <w:p w:rsidR="00407C15" w:rsidRDefault="00407C15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DCB"/>
    <w:multiLevelType w:val="hybridMultilevel"/>
    <w:tmpl w:val="F87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A2FA0"/>
    <w:rsid w:val="000C3701"/>
    <w:rsid w:val="00104B2E"/>
    <w:rsid w:val="001237EB"/>
    <w:rsid w:val="001377EF"/>
    <w:rsid w:val="001F0D52"/>
    <w:rsid w:val="0020040C"/>
    <w:rsid w:val="00203970"/>
    <w:rsid w:val="00211583"/>
    <w:rsid w:val="002161FE"/>
    <w:rsid w:val="0026294A"/>
    <w:rsid w:val="003032F8"/>
    <w:rsid w:val="003154D4"/>
    <w:rsid w:val="003250DE"/>
    <w:rsid w:val="00327C99"/>
    <w:rsid w:val="00343681"/>
    <w:rsid w:val="0037590C"/>
    <w:rsid w:val="003A1142"/>
    <w:rsid w:val="003A6E24"/>
    <w:rsid w:val="003E43A6"/>
    <w:rsid w:val="00407C15"/>
    <w:rsid w:val="004310FC"/>
    <w:rsid w:val="0044408C"/>
    <w:rsid w:val="0045566F"/>
    <w:rsid w:val="004B2E5C"/>
    <w:rsid w:val="004B582F"/>
    <w:rsid w:val="004D0724"/>
    <w:rsid w:val="004D2656"/>
    <w:rsid w:val="004F74E4"/>
    <w:rsid w:val="00524474"/>
    <w:rsid w:val="00535C90"/>
    <w:rsid w:val="00570566"/>
    <w:rsid w:val="005A056D"/>
    <w:rsid w:val="005A068E"/>
    <w:rsid w:val="005D52E6"/>
    <w:rsid w:val="005E7EE1"/>
    <w:rsid w:val="00612730"/>
    <w:rsid w:val="00647CC5"/>
    <w:rsid w:val="00654A86"/>
    <w:rsid w:val="006C295A"/>
    <w:rsid w:val="006E7F3D"/>
    <w:rsid w:val="00726E60"/>
    <w:rsid w:val="00761FD1"/>
    <w:rsid w:val="00763832"/>
    <w:rsid w:val="007773C0"/>
    <w:rsid w:val="00891CEB"/>
    <w:rsid w:val="00935958"/>
    <w:rsid w:val="009F7CDA"/>
    <w:rsid w:val="00A2261C"/>
    <w:rsid w:val="00A31332"/>
    <w:rsid w:val="00A436BA"/>
    <w:rsid w:val="00AC51BA"/>
    <w:rsid w:val="00B32EE0"/>
    <w:rsid w:val="00B56DF0"/>
    <w:rsid w:val="00B7124B"/>
    <w:rsid w:val="00BE2556"/>
    <w:rsid w:val="00BF05FB"/>
    <w:rsid w:val="00BF7840"/>
    <w:rsid w:val="00C82B17"/>
    <w:rsid w:val="00CF6F09"/>
    <w:rsid w:val="00D31663"/>
    <w:rsid w:val="00D37258"/>
    <w:rsid w:val="00D85BF8"/>
    <w:rsid w:val="00DB30A9"/>
    <w:rsid w:val="00EC38CF"/>
    <w:rsid w:val="00EE5FF9"/>
    <w:rsid w:val="00F23BA2"/>
    <w:rsid w:val="00F52971"/>
    <w:rsid w:val="00F66F6A"/>
    <w:rsid w:val="00F67015"/>
    <w:rsid w:val="00F87C11"/>
    <w:rsid w:val="00FA6F0C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18F789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935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3</cp:revision>
  <dcterms:created xsi:type="dcterms:W3CDTF">2020-03-20T08:57:00Z</dcterms:created>
  <dcterms:modified xsi:type="dcterms:W3CDTF">2020-03-20T08:57:00Z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