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F4326" w14:textId="77777777" w:rsidR="00F87C11" w:rsidRDefault="00BE2556">
      <w:pPr>
        <w:spacing w:before="120"/>
        <w:rPr>
          <w:rFonts w:ascii="NobelCE Lt" w:hAnsi="NobelCE Lt" w:cs="Arial"/>
          <w:color w:val="808080"/>
          <w:sz w:val="72"/>
          <w:szCs w:val="72"/>
        </w:rPr>
      </w:pPr>
      <w:r>
        <w:rPr>
          <w:noProof/>
        </w:rPr>
        <w:object w:dxaOrig="1236" w:dyaOrig="215" w14:anchorId="5494A3C1">
          <v:polyline id="ole_rId2" o:spid="_x0000_i1025" alt="" style="mso-width-percent:0;mso-height-percent:0;mso-left-percent:-10001;mso-top-percent:-10001;mso-position-horizontal:absolute;mso-position-horizontal-relative:char;mso-position-vertical:absolute;mso-position-vertical-relative:line;mso-width-percent:0;mso-height-percent:0;mso-left-percent:-10001;mso-top-percent:-10001" points="" coordsize="" stroked="f">
            <v:imagedata r:id="rId7" o:title=""/>
          </v:polyline>
          <o:OLEObject Type="Embed" ProgID="Word.Picture.8" ShapeID="ole_rId2" DrawAspect="Content" ObjectID="_1635857566" r:id="rId8"/>
        </w:object>
      </w:r>
    </w:p>
    <w:p w14:paraId="461FD66E" w14:textId="77777777" w:rsidR="00F87C11" w:rsidRDefault="00F87C11">
      <w:pPr>
        <w:spacing w:before="120"/>
        <w:rPr>
          <w:rFonts w:ascii="NobelCE Lt" w:hAnsi="NobelCE Lt" w:cs="Arial"/>
          <w:color w:val="808080"/>
          <w:sz w:val="72"/>
          <w:szCs w:val="72"/>
        </w:rPr>
      </w:pPr>
    </w:p>
    <w:p w14:paraId="4E721AB1" w14:textId="77777777" w:rsidR="00F87C11" w:rsidRDefault="00DB30A9">
      <w:pPr>
        <w:spacing w:before="120"/>
        <w:ind w:left="4248"/>
        <w:jc w:val="right"/>
        <w:rPr>
          <w:rFonts w:ascii="NobelCE Lt" w:hAnsi="NobelCE Lt" w:cs="Arial"/>
          <w:color w:val="996633"/>
          <w:sz w:val="20"/>
          <w:szCs w:val="20"/>
        </w:rPr>
      </w:pPr>
      <w:r>
        <w:rPr>
          <w:rFonts w:ascii="NobelCE Lt" w:hAnsi="NobelCE Lt" w:cs="Arial"/>
          <w:color w:val="808080"/>
          <w:sz w:val="72"/>
          <w:szCs w:val="72"/>
        </w:rPr>
        <w:t xml:space="preserve">MEDIA INFO </w:t>
      </w:r>
    </w:p>
    <w:p w14:paraId="0A76E540" w14:textId="77777777" w:rsidR="00F87C11" w:rsidRDefault="00F87C11">
      <w:pPr>
        <w:spacing w:before="120"/>
        <w:rPr>
          <w:rFonts w:ascii="NobelCE Lt" w:hAnsi="NobelCE Lt" w:cs="Arial"/>
          <w:color w:val="808080"/>
          <w:sz w:val="20"/>
          <w:szCs w:val="20"/>
        </w:rPr>
      </w:pPr>
    </w:p>
    <w:p w14:paraId="0E457FC6" w14:textId="07D1D24A" w:rsidR="00F87C11" w:rsidRDefault="3F4A7013">
      <w:pPr>
        <w:spacing w:before="120"/>
        <w:jc w:val="right"/>
        <w:rPr>
          <w:rFonts w:ascii="NobelCE Lt" w:hAnsi="NobelCE Lt" w:cs="Arial"/>
        </w:rPr>
      </w:pPr>
      <w:r w:rsidRPr="3F4A7013">
        <w:rPr>
          <w:rFonts w:ascii="NobelCE Lt" w:hAnsi="NobelCE Lt" w:cs="Arial"/>
        </w:rPr>
        <w:t>22. listopadu 2019</w:t>
      </w:r>
    </w:p>
    <w:p w14:paraId="1B439943" w14:textId="77777777" w:rsidR="00F87C11" w:rsidRDefault="00F87C11">
      <w:pPr>
        <w:pStyle w:val="NoSpacing"/>
        <w:spacing w:before="120"/>
        <w:rPr>
          <w:rFonts w:ascii="NobelCE Lt" w:hAnsi="NobelCE Lt"/>
          <w:b/>
          <w:sz w:val="28"/>
          <w:szCs w:val="56"/>
        </w:rPr>
      </w:pPr>
    </w:p>
    <w:p w14:paraId="290B86E0" w14:textId="02D6D473" w:rsidR="004D2656" w:rsidRPr="00A34022" w:rsidRDefault="00A34022" w:rsidP="00A34022">
      <w:pPr>
        <w:widowControl w:val="0"/>
        <w:autoSpaceDE w:val="0"/>
        <w:autoSpaceDN w:val="0"/>
        <w:adjustRightInd w:val="0"/>
        <w:spacing w:after="160" w:line="259" w:lineRule="auto"/>
        <w:rPr>
          <w:rFonts w:ascii="NobelCE Bk" w:hAnsi="NobelCE Bk"/>
          <w:sz w:val="56"/>
          <w:szCs w:val="52"/>
        </w:rPr>
      </w:pPr>
      <w:r>
        <w:rPr>
          <w:rFonts w:ascii="NobelCE Bk" w:hAnsi="NobelCE Bk"/>
          <w:b/>
          <w:bCs/>
          <w:sz w:val="56"/>
          <w:szCs w:val="52"/>
        </w:rPr>
        <w:br/>
      </w:r>
      <w:r w:rsidRPr="00A34022">
        <w:rPr>
          <w:rFonts w:ascii="NobelCE Bk" w:hAnsi="NobelCE Bk"/>
          <w:b/>
          <w:bCs/>
          <w:sz w:val="56"/>
          <w:szCs w:val="52"/>
        </w:rPr>
        <w:t xml:space="preserve">LEXUS PŘEDSTAVÍ SVŮJ PRVNÍ ELEKTROMOBIL UX 300E </w:t>
      </w:r>
    </w:p>
    <w:p w14:paraId="7ADA6AE2" w14:textId="4D2BA47C" w:rsidR="3F4A7013" w:rsidRPr="00A34022" w:rsidRDefault="00A34022" w:rsidP="00A34022">
      <w:pPr>
        <w:spacing w:after="160" w:line="259" w:lineRule="auto"/>
        <w:jc w:val="both"/>
        <w:rPr>
          <w:rFonts w:ascii="NobelCE Lt" w:hAnsi="NobelCE Lt"/>
          <w:b/>
          <w:bCs/>
        </w:rPr>
      </w:pPr>
      <w:r>
        <w:rPr>
          <w:rFonts w:ascii="NobelCE Lt" w:hAnsi="NobelCE Lt"/>
          <w:b/>
          <w:bCs/>
        </w:rPr>
        <w:br/>
      </w:r>
      <w:r w:rsidR="3F4A7013" w:rsidRPr="00A34022">
        <w:rPr>
          <w:rFonts w:ascii="NobelCE Lt" w:hAnsi="NobelCE Lt"/>
          <w:b/>
          <w:bCs/>
        </w:rPr>
        <w:t xml:space="preserve">Lexus představí na mezinárodní automobilové výstavě, jež proběhne od 22. listopadu do 1. prosince 2019 v čínském Kantonu, svůj první bateriový elektromobil (BEV), kterým je model UX 300e. </w:t>
      </w:r>
    </w:p>
    <w:p w14:paraId="6B86188C" w14:textId="67564703" w:rsidR="3F4A7013" w:rsidRPr="00A34022" w:rsidRDefault="00A34022" w:rsidP="00A34022">
      <w:pPr>
        <w:spacing w:after="160" w:line="259" w:lineRule="auto"/>
        <w:jc w:val="both"/>
        <w:rPr>
          <w:rFonts w:ascii="NobelCE Lt" w:hAnsi="NobelCE Lt"/>
        </w:rPr>
      </w:pPr>
      <w:r>
        <w:rPr>
          <w:rFonts w:ascii="NobelCE Lt" w:hAnsi="NobelCE Lt"/>
        </w:rPr>
        <w:br/>
      </w:r>
      <w:r w:rsidR="3F4A7013" w:rsidRPr="00A34022">
        <w:rPr>
          <w:rFonts w:ascii="NobelCE Lt" w:hAnsi="NobelCE Lt"/>
        </w:rPr>
        <w:t>Již od dob uvedení svého modelu RX 400h v roce 2005 je L</w:t>
      </w:r>
      <w:r w:rsidR="00E94ACC">
        <w:rPr>
          <w:rFonts w:ascii="NobelCE Lt" w:hAnsi="NobelCE Lt"/>
        </w:rPr>
        <w:t>exus</w:t>
      </w:r>
      <w:r w:rsidR="3F4A7013" w:rsidRPr="00A34022">
        <w:rPr>
          <w:rFonts w:ascii="NobelCE Lt" w:hAnsi="NobelCE Lt"/>
        </w:rPr>
        <w:t xml:space="preserve"> průkopníkem technologií elektrifikace vozidel, zastávajícím klíčovou roli coby automobilka nabízející produkty proslulé jízdními schopnostmi i odpovědným přístupem k životnímu prostředí. Na autosalonu Tokio 2019 odhalil Lexus svoji celosvětovou strategii elektrifikace, jejímž cílem je dosáhnout významného pokroku ve smyslu výkonových charakteristik vozidel, jízdního chování, ovládání a potěšení za volantem.</w:t>
      </w:r>
    </w:p>
    <w:p w14:paraId="63ADEA45" w14:textId="31A1E6CA" w:rsidR="3F4A7013" w:rsidRPr="00A34022" w:rsidRDefault="3F4A7013" w:rsidP="00A34022">
      <w:pPr>
        <w:spacing w:after="160" w:line="259" w:lineRule="auto"/>
        <w:jc w:val="both"/>
        <w:rPr>
          <w:rFonts w:ascii="NobelCE Lt" w:hAnsi="NobelCE Lt"/>
        </w:rPr>
      </w:pPr>
      <w:r w:rsidRPr="00A34022">
        <w:rPr>
          <w:rFonts w:ascii="NobelCE Lt" w:hAnsi="NobelCE Lt"/>
        </w:rPr>
        <w:t>Tec</w:t>
      </w:r>
      <w:r w:rsidR="00E94ACC">
        <w:rPr>
          <w:rFonts w:ascii="NobelCE Lt" w:hAnsi="NobelCE Lt"/>
        </w:rPr>
        <w:t>hnologie zařazené do strategie elektrifikace</w:t>
      </w:r>
      <w:r w:rsidRPr="00A34022">
        <w:rPr>
          <w:rFonts w:ascii="NobelCE Lt" w:hAnsi="NobelCE Lt"/>
        </w:rPr>
        <w:t xml:space="preserve"> podporují integrovanou kontrolu hnacího ústrojí, soustavy řízení, odpružení a brzd, čímž maximálně využívají potenciál technologie řízení elektromotorů, postupně </w:t>
      </w:r>
      <w:r w:rsidR="00E94ACC">
        <w:rPr>
          <w:rFonts w:ascii="NobelCE Lt" w:hAnsi="NobelCE Lt"/>
        </w:rPr>
        <w:t>vyladěné</w:t>
      </w:r>
      <w:r w:rsidRPr="00A34022">
        <w:rPr>
          <w:rFonts w:ascii="NobelCE Lt" w:hAnsi="NobelCE Lt"/>
        </w:rPr>
        <w:t xml:space="preserve"> v hybridních modelech. Prostřednict</w:t>
      </w:r>
      <w:r w:rsidR="00E94ACC">
        <w:rPr>
          <w:rFonts w:ascii="NobelCE Lt" w:hAnsi="NobelCE Lt"/>
        </w:rPr>
        <w:t>vím uvedených technologií dokáží vozy</w:t>
      </w:r>
      <w:r w:rsidRPr="00A34022">
        <w:rPr>
          <w:rFonts w:ascii="NobelCE Lt" w:hAnsi="NobelCE Lt"/>
        </w:rPr>
        <w:t xml:space="preserve"> regulovat hnací sílu ve prospěch optimálního postavení karoserie vozidla za každé jízdní situace. Snahou firmy Lexus je i nadále nabízet vozidla poskytující zábavu za volantem i bezpečnější cestování.</w:t>
      </w:r>
    </w:p>
    <w:p w14:paraId="35B5F9B1" w14:textId="1A311893" w:rsidR="3F4A7013" w:rsidRPr="00A34022" w:rsidRDefault="3F4A7013" w:rsidP="00A34022">
      <w:pPr>
        <w:spacing w:after="160" w:line="259" w:lineRule="auto"/>
        <w:jc w:val="both"/>
        <w:rPr>
          <w:rFonts w:ascii="NobelCE Lt" w:hAnsi="NobelCE Lt"/>
        </w:rPr>
      </w:pPr>
      <w:r w:rsidRPr="00A34022">
        <w:rPr>
          <w:rFonts w:ascii="NobelCE Lt" w:hAnsi="NobelCE Lt"/>
        </w:rPr>
        <w:t xml:space="preserve">Čistě elektrické UX 300e, coby první sériový model </w:t>
      </w:r>
      <w:r w:rsidR="00E94ACC">
        <w:rPr>
          <w:rFonts w:ascii="NobelCE Lt" w:hAnsi="NobelCE Lt"/>
        </w:rPr>
        <w:t>čistě na elektřinu,</w:t>
      </w:r>
      <w:r w:rsidRPr="00A34022">
        <w:rPr>
          <w:rFonts w:ascii="NobelCE Lt" w:hAnsi="NobelCE Lt"/>
        </w:rPr>
        <w:t xml:space="preserve"> bylo vyvinuto s cílem dosáhnout vynikajících jízdních schopností. Konstruktéři ponechali beze změny markantní design i užitné vlastnosti crossoveru UX a zaměřili se na příležitosti umožňující stavět na jedinečných výhodách elektromobilů z pohledu dynamiky a jízdních schopností. Výkonný elektromotor pro UX 300e se chlubí energickým zrychlováním s přirozeným charakterem; vysokokapacitní baterie uložené přímo pod podlahou kabiny zase přinášejí nízké těžiště a dojezd až 400 km</w:t>
      </w:r>
      <w:r w:rsidR="001E5FA4">
        <w:rPr>
          <w:rFonts w:ascii="NobelCE Lt" w:hAnsi="NobelCE Lt"/>
        </w:rPr>
        <w:t xml:space="preserve"> (dl</w:t>
      </w:r>
      <w:bookmarkStart w:id="0" w:name="_GoBack"/>
      <w:bookmarkEnd w:id="0"/>
      <w:r w:rsidR="001E5FA4">
        <w:rPr>
          <w:rFonts w:ascii="NobelCE Lt" w:hAnsi="NobelCE Lt"/>
        </w:rPr>
        <w:t>e metodiky NEDC)</w:t>
      </w:r>
      <w:r w:rsidRPr="00A34022">
        <w:rPr>
          <w:rFonts w:ascii="NobelCE Lt" w:hAnsi="NobelCE Lt"/>
        </w:rPr>
        <w:t xml:space="preserve">. UX 300e k tomu přidává i nejnovější technologie konektivity, a maximální měrou tak využívá výhod elektromobilů ve prospěch skvělých jízdních schopností i praktičnosti. </w:t>
      </w:r>
    </w:p>
    <w:p w14:paraId="26D11461" w14:textId="48FAB07A" w:rsidR="3F4A7013" w:rsidRPr="00A34022" w:rsidRDefault="3F4A7013" w:rsidP="00A34022">
      <w:pPr>
        <w:spacing w:after="160" w:line="259" w:lineRule="auto"/>
        <w:jc w:val="both"/>
        <w:rPr>
          <w:rFonts w:ascii="NobelCE Lt" w:hAnsi="NobelCE Lt"/>
        </w:rPr>
      </w:pPr>
      <w:r w:rsidRPr="00A34022">
        <w:rPr>
          <w:rFonts w:ascii="NobelCE Lt" w:hAnsi="NobelCE Lt"/>
        </w:rPr>
        <w:t xml:space="preserve">UX 300e se v roce 2020 začne prodávat v Číně a </w:t>
      </w:r>
      <w:r w:rsidR="00E94ACC">
        <w:rPr>
          <w:rFonts w:ascii="NobelCE Lt" w:hAnsi="NobelCE Lt"/>
        </w:rPr>
        <w:t>v</w:t>
      </w:r>
      <w:r w:rsidR="00120712">
        <w:rPr>
          <w:rFonts w:ascii="NobelCE Lt" w:hAnsi="NobelCE Lt"/>
        </w:rPr>
        <w:t xml:space="preserve">e vybraných zemích </w:t>
      </w:r>
      <w:r w:rsidRPr="00A34022">
        <w:rPr>
          <w:rFonts w:ascii="NobelCE Lt" w:hAnsi="NobelCE Lt"/>
        </w:rPr>
        <w:t>Evrop</w:t>
      </w:r>
      <w:r w:rsidR="00120712">
        <w:rPr>
          <w:rFonts w:ascii="NobelCE Lt" w:hAnsi="NobelCE Lt"/>
        </w:rPr>
        <w:t>y</w:t>
      </w:r>
      <w:r w:rsidRPr="00A34022">
        <w:rPr>
          <w:rFonts w:ascii="NobelCE Lt" w:hAnsi="NobelCE Lt"/>
        </w:rPr>
        <w:t xml:space="preserve">; uvedení na japonský trh je naplánováno na počátek roku 2021. </w:t>
      </w:r>
    </w:p>
    <w:p w14:paraId="48408C2F" w14:textId="6D18C270" w:rsidR="3F4A7013" w:rsidRPr="00A34022" w:rsidRDefault="3F4A7013" w:rsidP="00A34022">
      <w:pPr>
        <w:spacing w:after="160" w:line="259" w:lineRule="auto"/>
        <w:jc w:val="both"/>
        <w:rPr>
          <w:rFonts w:ascii="NobelCE Lt" w:hAnsi="NobelCE Lt"/>
        </w:rPr>
      </w:pPr>
    </w:p>
    <w:p w14:paraId="04D1A351" w14:textId="001C296C" w:rsidR="3F4A7013" w:rsidRPr="00A34022" w:rsidRDefault="3F4A7013" w:rsidP="00A34022">
      <w:pPr>
        <w:spacing w:after="160" w:line="259" w:lineRule="auto"/>
        <w:jc w:val="both"/>
        <w:rPr>
          <w:rFonts w:ascii="NobelCE Lt" w:hAnsi="NobelCE Lt"/>
        </w:rPr>
      </w:pPr>
      <w:r w:rsidRPr="00A34022">
        <w:rPr>
          <w:rFonts w:ascii="NobelCE Lt" w:hAnsi="NobelCE Lt"/>
          <w:b/>
          <w:bCs/>
        </w:rPr>
        <w:lastRenderedPageBreak/>
        <w:t>UX 300e – Hlavní vlastnosti</w:t>
      </w:r>
    </w:p>
    <w:p w14:paraId="16399F11" w14:textId="5CFCD091" w:rsidR="3F4A7013" w:rsidRPr="00A34022" w:rsidRDefault="3F4A7013" w:rsidP="00A34022">
      <w:pPr>
        <w:spacing w:after="160" w:line="259" w:lineRule="auto"/>
        <w:jc w:val="both"/>
        <w:rPr>
          <w:rFonts w:ascii="NobelCE Lt" w:hAnsi="NobelCE Lt"/>
        </w:rPr>
      </w:pPr>
      <w:r w:rsidRPr="00A34022">
        <w:rPr>
          <w:rFonts w:ascii="NobelCE Lt" w:hAnsi="NobelCE Lt"/>
          <w:b/>
          <w:bCs/>
        </w:rPr>
        <w:t xml:space="preserve">První elektromobil značky Lexus zhmotňuje kultivované jízdní schopnosti a špičkové utlumení hluku i vibrací v duchu tradic značky  </w:t>
      </w:r>
    </w:p>
    <w:p w14:paraId="377BD6F7" w14:textId="2EABE67D" w:rsidR="3F4A7013" w:rsidRPr="00A34022" w:rsidRDefault="3F4A7013" w:rsidP="00A34022">
      <w:pPr>
        <w:spacing w:after="160" w:line="259" w:lineRule="auto"/>
        <w:jc w:val="both"/>
        <w:rPr>
          <w:rFonts w:ascii="NobelCE Lt" w:hAnsi="NobelCE Lt"/>
        </w:rPr>
      </w:pPr>
      <w:r w:rsidRPr="00A34022">
        <w:rPr>
          <w:rFonts w:ascii="NobelCE Lt" w:hAnsi="NobelCE Lt"/>
        </w:rPr>
        <w:t xml:space="preserve">Lexus se vždy zaměřoval na opojné jízdní schopnosti, a nejinak je tomu i v případě vývoje elektromobilu s bateriovým pohonem. Konstruktéři Lexus vyšli z kultivovaných jízdních vlastností UX a dokázali nový elektrický </w:t>
      </w:r>
      <w:r w:rsidR="00E94ACC">
        <w:rPr>
          <w:rFonts w:ascii="NobelCE Lt" w:hAnsi="NobelCE Lt"/>
        </w:rPr>
        <w:t>pohon</w:t>
      </w:r>
      <w:r w:rsidRPr="00A34022">
        <w:rPr>
          <w:rFonts w:ascii="NobelCE Lt" w:hAnsi="NobelCE Lt"/>
        </w:rPr>
        <w:t xml:space="preserve"> efektivně využít tak, aby vůz nabídl ještě lepší jízdní schopnosti. UX 300e se kromě toho chlubí jedním z nejtišších interiérů v této třídě, jak ostatně přísluší špičkovým akustickým vlastnostem, které jsou pro vozy Lexus typické. </w:t>
      </w:r>
    </w:p>
    <w:p w14:paraId="71B1B61E" w14:textId="7144FC2E" w:rsidR="3F4A7013" w:rsidRPr="00A34022" w:rsidRDefault="3F4A7013" w:rsidP="00A34022">
      <w:pPr>
        <w:pStyle w:val="ListParagraph"/>
        <w:numPr>
          <w:ilvl w:val="0"/>
          <w:numId w:val="3"/>
        </w:numPr>
        <w:spacing w:after="160" w:line="259" w:lineRule="auto"/>
        <w:ind w:left="0"/>
        <w:jc w:val="both"/>
        <w:rPr>
          <w:rFonts w:ascii="NobelCE Lt" w:hAnsi="NobelCE Lt"/>
        </w:rPr>
      </w:pPr>
      <w:r w:rsidRPr="00A34022">
        <w:rPr>
          <w:rFonts w:ascii="NobelCE Lt" w:hAnsi="NobelCE Lt"/>
        </w:rPr>
        <w:t xml:space="preserve">Volič jízdních režimů Drive Mode Select umožňuje majiteli UX 300e zajistit vždy hladké zrychlování a zpomalování podle aktuální situace. Řidič si může vychutnat mohutnou akceleraci a okamžitý točivý moment elektrického pohonu bezprostředně po sešlápnutí pedálu, resp. používat podobně i páčky pod volantem pro brzdění motorem s využitím čtyř úrovní zpomalování a rekuperace energie – při zachování zcela přirozených jízdních vlastností. </w:t>
      </w:r>
    </w:p>
    <w:p w14:paraId="177BEAE7" w14:textId="40CAA16B" w:rsidR="3F4A7013" w:rsidRPr="00A34022" w:rsidRDefault="3F4A7013" w:rsidP="00A34022">
      <w:pPr>
        <w:pStyle w:val="ListParagraph"/>
        <w:numPr>
          <w:ilvl w:val="0"/>
          <w:numId w:val="3"/>
        </w:numPr>
        <w:spacing w:after="160" w:line="259" w:lineRule="auto"/>
        <w:ind w:left="0"/>
        <w:jc w:val="both"/>
        <w:rPr>
          <w:rFonts w:ascii="NobelCE Lt" w:hAnsi="NobelCE Lt"/>
        </w:rPr>
      </w:pPr>
      <w:r w:rsidRPr="00A34022">
        <w:rPr>
          <w:rFonts w:ascii="NobelCE Lt" w:hAnsi="NobelCE Lt"/>
        </w:rPr>
        <w:t>UX 300e se chlubí příkladnou jízdní dynamikou, která staví na nízkém těžišti díky elektromotoru a bateriím pod kabinou v kombinaci s optimálním rozložením hmotnosti mezi nápravami a momentem setrvačnosti.</w:t>
      </w:r>
    </w:p>
    <w:p w14:paraId="01220038" w14:textId="77EE27AF" w:rsidR="3F4A7013" w:rsidRPr="00A34022" w:rsidRDefault="3F4A7013" w:rsidP="00A34022">
      <w:pPr>
        <w:pStyle w:val="ListParagraph"/>
        <w:numPr>
          <w:ilvl w:val="0"/>
          <w:numId w:val="3"/>
        </w:numPr>
        <w:spacing w:after="160" w:line="259" w:lineRule="auto"/>
        <w:ind w:left="0"/>
        <w:jc w:val="both"/>
        <w:rPr>
          <w:rFonts w:ascii="NobelCE Lt" w:hAnsi="NobelCE Lt"/>
        </w:rPr>
      </w:pPr>
      <w:r w:rsidRPr="00A34022">
        <w:rPr>
          <w:rFonts w:ascii="NobelCE Lt" w:hAnsi="NobelCE Lt"/>
        </w:rPr>
        <w:t xml:space="preserve">Beztak vynikající dynamické vlastnosti podvozkové platformy GA-C byly ještě vylepšeny dalšími výztuhami a optimalizací síly tlumičů v souladu se změnami dynamiky v důsledku elektrifikace. </w:t>
      </w:r>
    </w:p>
    <w:p w14:paraId="564574AC" w14:textId="42FD73B0" w:rsidR="3F4A7013" w:rsidRPr="00A34022" w:rsidRDefault="3F4A7013" w:rsidP="00A34022">
      <w:pPr>
        <w:pStyle w:val="ListParagraph"/>
        <w:numPr>
          <w:ilvl w:val="0"/>
          <w:numId w:val="3"/>
        </w:numPr>
        <w:spacing w:after="160" w:line="259" w:lineRule="auto"/>
        <w:ind w:left="0"/>
        <w:jc w:val="both"/>
        <w:rPr>
          <w:rFonts w:ascii="NobelCE Lt" w:hAnsi="NobelCE Lt"/>
        </w:rPr>
      </w:pPr>
      <w:r w:rsidRPr="00A34022">
        <w:rPr>
          <w:rFonts w:ascii="NobelCE Lt" w:hAnsi="NobelCE Lt"/>
        </w:rPr>
        <w:t xml:space="preserve">Elektromobily jsou známy svým tichým charakterem, nicméně UX 300e nekončí akustickou izolací elektrického pohonu a usiluje o účinné potlačení vnějšího hluku (např. aerodynamického svistu a odlétávajících kamínků), který by cestující při absenci spalovacího motoru a převodovky mohli zaznamenat. Díky zaměření techniků Lexus na akustický management si tak řidič může vychutnávat pohodlí mimořádně tiché kabiny. </w:t>
      </w:r>
    </w:p>
    <w:p w14:paraId="086B1499" w14:textId="12A950D1" w:rsidR="3F4A7013" w:rsidRPr="00A34022" w:rsidRDefault="3F4A7013" w:rsidP="00A34022">
      <w:pPr>
        <w:pStyle w:val="ListParagraph"/>
        <w:numPr>
          <w:ilvl w:val="0"/>
          <w:numId w:val="3"/>
        </w:numPr>
        <w:spacing w:after="160" w:line="259" w:lineRule="auto"/>
        <w:ind w:left="0"/>
        <w:jc w:val="both"/>
        <w:rPr>
          <w:rFonts w:ascii="NobelCE Lt" w:hAnsi="NobelCE Lt"/>
        </w:rPr>
      </w:pPr>
      <w:r w:rsidRPr="00A34022">
        <w:rPr>
          <w:rFonts w:ascii="NobelCE Lt" w:hAnsi="NobelCE Lt"/>
        </w:rPr>
        <w:t xml:space="preserve">Konstruktéři se soustředili i na zvuky vznikající během jízdy, aby dosáhli přirozeného prostředí v interiéru. Akustický systém Active Sound Control (ASC) přenáší přirozené okolní zvuky s cílem informovat o jízdních podmínkách a zprostředkovat celé posádce vozidla přirozený charakter. </w:t>
      </w:r>
    </w:p>
    <w:p w14:paraId="07C82438" w14:textId="77777777" w:rsidR="00A34022" w:rsidRPr="00A34022" w:rsidRDefault="00A34022" w:rsidP="00A34022">
      <w:pPr>
        <w:spacing w:after="160" w:line="259" w:lineRule="auto"/>
        <w:jc w:val="both"/>
        <w:rPr>
          <w:rFonts w:ascii="NobelCE Lt" w:hAnsi="NobelCE Lt"/>
          <w:b/>
          <w:bCs/>
        </w:rPr>
      </w:pPr>
    </w:p>
    <w:p w14:paraId="078B628F" w14:textId="77AB7583" w:rsidR="3F4A7013" w:rsidRPr="00A34022" w:rsidRDefault="3F4A7013" w:rsidP="00A34022">
      <w:pPr>
        <w:spacing w:after="160" w:line="259" w:lineRule="auto"/>
        <w:jc w:val="both"/>
        <w:rPr>
          <w:rFonts w:ascii="NobelCE Lt" w:hAnsi="NobelCE Lt"/>
        </w:rPr>
      </w:pPr>
      <w:r w:rsidRPr="00A34022">
        <w:rPr>
          <w:rFonts w:ascii="NobelCE Lt" w:hAnsi="NobelCE Lt"/>
          <w:b/>
          <w:bCs/>
        </w:rPr>
        <w:t xml:space="preserve">Legendární spolehlivost Lexus staví na tradici hybridních modelů </w:t>
      </w:r>
    </w:p>
    <w:p w14:paraId="6879BE1F" w14:textId="211DC34A" w:rsidR="3F4A7013" w:rsidRPr="00A34022" w:rsidRDefault="3F4A7013" w:rsidP="00A34022">
      <w:pPr>
        <w:spacing w:after="160" w:line="259" w:lineRule="auto"/>
        <w:jc w:val="both"/>
        <w:rPr>
          <w:rFonts w:ascii="NobelCE Lt" w:hAnsi="NobelCE Lt"/>
        </w:rPr>
      </w:pPr>
      <w:r w:rsidRPr="00A34022">
        <w:rPr>
          <w:rFonts w:ascii="NobelCE Lt" w:hAnsi="NobelCE Lt"/>
        </w:rPr>
        <w:t xml:space="preserve">Při vývoji UX 300e zužitkoval Lexus znalosti získané vývojem špičkových hybridních systémů této značky a stejnou úroveň kvality a pohodlného ovládání promítl i do svého prvního sériového elektromobilu, stejně jako postupuje u všech svých vozidel. Tým konstruktérů Lexus docílil mimořádné spolehlivosti baterií a současně uplatnil nejmodernější technologie konektivity pro maximální každodenní použitelnost a praktičnost ve spojení s chytrými telefony. </w:t>
      </w:r>
    </w:p>
    <w:p w14:paraId="06A4F1A5" w14:textId="5BF2FF3F" w:rsidR="3F4A7013" w:rsidRPr="00A34022" w:rsidRDefault="3F4A7013" w:rsidP="00A34022">
      <w:pPr>
        <w:pStyle w:val="ListParagraph"/>
        <w:numPr>
          <w:ilvl w:val="0"/>
          <w:numId w:val="2"/>
        </w:numPr>
        <w:spacing w:after="160" w:line="259" w:lineRule="auto"/>
        <w:ind w:left="0"/>
        <w:jc w:val="both"/>
        <w:rPr>
          <w:rFonts w:ascii="NobelCE Lt" w:hAnsi="NobelCE Lt"/>
        </w:rPr>
      </w:pPr>
      <w:r w:rsidRPr="00A34022">
        <w:rPr>
          <w:rFonts w:ascii="NobelCE Lt" w:hAnsi="NobelCE Lt"/>
        </w:rPr>
        <w:t>Optimalizace se zaměřila na co nejefektivnější chod elektromotoru, střídače, převodů a vysokokapacitní baterie s využitím poznatků získaných v rámci vývoje hybridních vozidel. Zlepšením parametrů celého systému se podařilo dosáhnout dojezdu 400 km pro cestování bez obav z vybití baterie UX 300e.</w:t>
      </w:r>
    </w:p>
    <w:p w14:paraId="1456E7F8" w14:textId="386B3AD0" w:rsidR="3F4A7013" w:rsidRPr="00A34022" w:rsidRDefault="3F4A7013" w:rsidP="00A34022">
      <w:pPr>
        <w:pStyle w:val="ListParagraph"/>
        <w:numPr>
          <w:ilvl w:val="0"/>
          <w:numId w:val="2"/>
        </w:numPr>
        <w:spacing w:after="160" w:line="259" w:lineRule="auto"/>
        <w:ind w:left="0"/>
        <w:jc w:val="both"/>
        <w:rPr>
          <w:rFonts w:ascii="NobelCE Lt" w:hAnsi="NobelCE Lt"/>
        </w:rPr>
      </w:pPr>
      <w:r w:rsidRPr="00A34022">
        <w:rPr>
          <w:rFonts w:ascii="NobelCE Lt" w:hAnsi="NobelCE Lt"/>
        </w:rPr>
        <w:t xml:space="preserve">Baterie jsou vybaveny systémem teplotního managementu pro spolehlivý provoz za nízkých i vysokých okolních teplot. Ke zvýšení spolehlivosti přispívá i několik systémů monitorování, které regulují nabíjení a předcházejí rizikovým stavům, jako např. přebití. </w:t>
      </w:r>
    </w:p>
    <w:p w14:paraId="315FCAB8" w14:textId="35921524" w:rsidR="3F4A7013" w:rsidRPr="00A34022" w:rsidRDefault="3F4A7013" w:rsidP="00A34022">
      <w:pPr>
        <w:pStyle w:val="ListParagraph"/>
        <w:numPr>
          <w:ilvl w:val="0"/>
          <w:numId w:val="2"/>
        </w:numPr>
        <w:spacing w:after="160" w:line="259" w:lineRule="auto"/>
        <w:ind w:left="0"/>
        <w:jc w:val="both"/>
        <w:rPr>
          <w:rFonts w:ascii="NobelCE Lt" w:hAnsi="NobelCE Lt"/>
        </w:rPr>
      </w:pPr>
      <w:r w:rsidRPr="00A34022">
        <w:rPr>
          <w:rFonts w:ascii="NobelCE Lt" w:hAnsi="NobelCE Lt"/>
        </w:rPr>
        <w:t xml:space="preserve">UX 300e nabízí ty nejmodernější technologie palubní konektivity. Po propojení s chytrým telefonem pomocí speciální mobilní aplikace může řidič kdykoli zkontrolovat stav nabití baterie nebo dojezd. Zahrnuty jsou i funkce pro nabíjení, jako např. časovač informující majitele o tom, kdy bude vozidlo plně nabité, resp. umožňující naplánovat příští nabíjení podle předpokládaného času jízdy. Aplikace umožňuje majiteli ovládat na dálku různé funkce ke zvýšení pohodlí, např. klimatizaci, vyhřívání sedadel nebo odmrazování oken. </w:t>
      </w:r>
    </w:p>
    <w:p w14:paraId="1EB392E5" w14:textId="5DC1D453" w:rsidR="3F4A7013" w:rsidRPr="00A34022" w:rsidRDefault="3F4A7013" w:rsidP="00A34022">
      <w:pPr>
        <w:spacing w:after="160" w:line="259" w:lineRule="auto"/>
        <w:jc w:val="both"/>
        <w:rPr>
          <w:rFonts w:ascii="NobelCE Lt" w:hAnsi="NobelCE Lt"/>
        </w:rPr>
      </w:pPr>
    </w:p>
    <w:p w14:paraId="21D13942" w14:textId="0B5A5AFF" w:rsidR="3F4A7013" w:rsidRPr="00A34022" w:rsidRDefault="3F4A7013" w:rsidP="00F04D46">
      <w:pPr>
        <w:spacing w:after="160" w:line="259" w:lineRule="auto"/>
        <w:jc w:val="both"/>
        <w:rPr>
          <w:rFonts w:ascii="NobelCE Lt" w:hAnsi="NobelCE Lt"/>
        </w:rPr>
      </w:pPr>
      <w:r w:rsidRPr="00A34022">
        <w:rPr>
          <w:rFonts w:ascii="NobelCE Lt" w:hAnsi="NobelCE Lt"/>
        </w:rPr>
        <w:t>Specifikace elektromotoru pro UX300e</w:t>
      </w:r>
    </w:p>
    <w:tbl>
      <w:tblPr>
        <w:tblW w:w="0" w:type="auto"/>
        <w:tblLayout w:type="fixed"/>
        <w:tblLook w:val="04A0" w:firstRow="1" w:lastRow="0" w:firstColumn="1" w:lastColumn="0" w:noHBand="0" w:noVBand="1"/>
      </w:tblPr>
      <w:tblGrid>
        <w:gridCol w:w="2268"/>
        <w:gridCol w:w="2268"/>
        <w:gridCol w:w="2268"/>
        <w:gridCol w:w="2268"/>
      </w:tblGrid>
      <w:tr w:rsidR="3F4A7013" w:rsidRPr="00A34022" w14:paraId="7C61452F" w14:textId="77777777" w:rsidTr="3F4A7013">
        <w:tc>
          <w:tcPr>
            <w:tcW w:w="2268" w:type="dxa"/>
          </w:tcPr>
          <w:p w14:paraId="6D5A5C0C" w14:textId="186CF108" w:rsidR="3F4A7013" w:rsidRPr="00A34022" w:rsidRDefault="3F4A7013" w:rsidP="00A34022">
            <w:pPr>
              <w:spacing w:after="160" w:line="259" w:lineRule="auto"/>
              <w:jc w:val="both"/>
              <w:rPr>
                <w:rFonts w:ascii="NobelCE Lt" w:hAnsi="NobelCE Lt"/>
              </w:rPr>
            </w:pPr>
            <w:r w:rsidRPr="00A34022">
              <w:rPr>
                <w:rFonts w:ascii="NobelCE Lt" w:hAnsi="NobelCE Lt"/>
              </w:rPr>
              <w:t>Umístění</w:t>
            </w:r>
          </w:p>
        </w:tc>
        <w:tc>
          <w:tcPr>
            <w:tcW w:w="2268" w:type="dxa"/>
          </w:tcPr>
          <w:p w14:paraId="0F58400C" w14:textId="03DC53C6" w:rsidR="3F4A7013" w:rsidRPr="00A34022" w:rsidRDefault="3F4A7013" w:rsidP="00A34022">
            <w:pPr>
              <w:spacing w:after="160" w:line="259" w:lineRule="auto"/>
              <w:jc w:val="both"/>
              <w:rPr>
                <w:rFonts w:ascii="NobelCE Lt" w:hAnsi="NobelCE Lt"/>
              </w:rPr>
            </w:pPr>
            <w:r w:rsidRPr="00A34022">
              <w:rPr>
                <w:rFonts w:ascii="NobelCE Lt" w:hAnsi="NobelCE Lt"/>
              </w:rPr>
              <w:t>Model</w:t>
            </w:r>
          </w:p>
        </w:tc>
        <w:tc>
          <w:tcPr>
            <w:tcW w:w="2268" w:type="dxa"/>
          </w:tcPr>
          <w:p w14:paraId="485CF718" w14:textId="7D822DA2" w:rsidR="3F4A7013" w:rsidRPr="00A34022" w:rsidRDefault="3F4A7013" w:rsidP="00A34022">
            <w:pPr>
              <w:spacing w:after="160" w:line="259" w:lineRule="auto"/>
              <w:jc w:val="both"/>
              <w:rPr>
                <w:rFonts w:ascii="NobelCE Lt" w:hAnsi="NobelCE Lt"/>
              </w:rPr>
            </w:pPr>
            <w:r w:rsidRPr="00A34022">
              <w:rPr>
                <w:rFonts w:ascii="NobelCE Lt" w:hAnsi="NobelCE Lt"/>
              </w:rPr>
              <w:t>Max. výkon</w:t>
            </w:r>
          </w:p>
        </w:tc>
        <w:tc>
          <w:tcPr>
            <w:tcW w:w="2268" w:type="dxa"/>
          </w:tcPr>
          <w:p w14:paraId="7558EBCE" w14:textId="18E5AD93" w:rsidR="3F4A7013" w:rsidRPr="00A34022" w:rsidRDefault="3F4A7013" w:rsidP="00A34022">
            <w:pPr>
              <w:spacing w:after="160" w:line="259" w:lineRule="auto"/>
              <w:jc w:val="both"/>
              <w:rPr>
                <w:rFonts w:ascii="NobelCE Lt" w:hAnsi="NobelCE Lt"/>
              </w:rPr>
            </w:pPr>
            <w:r w:rsidRPr="00A34022">
              <w:rPr>
                <w:rFonts w:ascii="NobelCE Lt" w:hAnsi="NobelCE Lt"/>
              </w:rPr>
              <w:t>Max. točivý moment</w:t>
            </w:r>
          </w:p>
        </w:tc>
      </w:tr>
      <w:tr w:rsidR="3F4A7013" w:rsidRPr="00A34022" w14:paraId="7E383D78" w14:textId="77777777" w:rsidTr="3F4A7013">
        <w:tc>
          <w:tcPr>
            <w:tcW w:w="2268" w:type="dxa"/>
          </w:tcPr>
          <w:p w14:paraId="0402CB8F" w14:textId="04B54C89" w:rsidR="3F4A7013" w:rsidRPr="00A34022" w:rsidRDefault="3F4A7013" w:rsidP="00A34022">
            <w:pPr>
              <w:spacing w:after="160" w:line="259" w:lineRule="auto"/>
              <w:jc w:val="both"/>
              <w:rPr>
                <w:rFonts w:ascii="NobelCE Lt" w:hAnsi="NobelCE Lt"/>
              </w:rPr>
            </w:pPr>
            <w:r w:rsidRPr="00A34022">
              <w:rPr>
                <w:rFonts w:ascii="NobelCE Lt" w:hAnsi="NobelCE Lt"/>
              </w:rPr>
              <w:t xml:space="preserve">Vpředu </w:t>
            </w:r>
          </w:p>
        </w:tc>
        <w:tc>
          <w:tcPr>
            <w:tcW w:w="2268" w:type="dxa"/>
          </w:tcPr>
          <w:p w14:paraId="376D09BB" w14:textId="0F98562E" w:rsidR="3F4A7013" w:rsidRPr="00A34022" w:rsidRDefault="3F4A7013" w:rsidP="00A34022">
            <w:pPr>
              <w:spacing w:after="160" w:line="259" w:lineRule="auto"/>
              <w:jc w:val="both"/>
              <w:rPr>
                <w:rFonts w:ascii="NobelCE Lt" w:hAnsi="NobelCE Lt"/>
              </w:rPr>
            </w:pPr>
            <w:r w:rsidRPr="00A34022">
              <w:rPr>
                <w:rFonts w:ascii="NobelCE Lt" w:hAnsi="NobelCE Lt"/>
              </w:rPr>
              <w:t>4KM</w:t>
            </w:r>
          </w:p>
        </w:tc>
        <w:tc>
          <w:tcPr>
            <w:tcW w:w="2268" w:type="dxa"/>
          </w:tcPr>
          <w:p w14:paraId="1BB7C57A" w14:textId="59E262A6" w:rsidR="3F4A7013" w:rsidRPr="00A34022" w:rsidRDefault="3F4A7013" w:rsidP="00A34022">
            <w:pPr>
              <w:spacing w:after="160" w:line="259" w:lineRule="auto"/>
              <w:jc w:val="both"/>
              <w:rPr>
                <w:rFonts w:ascii="NobelCE Lt" w:hAnsi="NobelCE Lt"/>
              </w:rPr>
            </w:pPr>
            <w:r w:rsidRPr="00A34022">
              <w:rPr>
                <w:rFonts w:ascii="NobelCE Lt" w:hAnsi="NobelCE Lt"/>
              </w:rPr>
              <w:t>150 kW</w:t>
            </w:r>
          </w:p>
        </w:tc>
        <w:tc>
          <w:tcPr>
            <w:tcW w:w="2268" w:type="dxa"/>
          </w:tcPr>
          <w:p w14:paraId="072CBF24" w14:textId="6E3A98CC" w:rsidR="3F4A7013" w:rsidRPr="00A34022" w:rsidRDefault="3F4A7013" w:rsidP="00A34022">
            <w:pPr>
              <w:spacing w:after="160" w:line="259" w:lineRule="auto"/>
              <w:jc w:val="both"/>
              <w:rPr>
                <w:rFonts w:ascii="NobelCE Lt" w:hAnsi="NobelCE Lt"/>
              </w:rPr>
            </w:pPr>
            <w:r w:rsidRPr="00A34022">
              <w:rPr>
                <w:rFonts w:ascii="NobelCE Lt" w:hAnsi="NobelCE Lt"/>
              </w:rPr>
              <w:t>300 Nm</w:t>
            </w:r>
          </w:p>
        </w:tc>
      </w:tr>
    </w:tbl>
    <w:p w14:paraId="5FF72F87" w14:textId="072054B9" w:rsidR="3F4A7013" w:rsidRPr="00A34022" w:rsidRDefault="3F4A7013" w:rsidP="00A34022">
      <w:pPr>
        <w:spacing w:after="160" w:line="259" w:lineRule="auto"/>
        <w:jc w:val="both"/>
        <w:rPr>
          <w:rFonts w:ascii="NobelCE Lt" w:hAnsi="NobelCE Lt"/>
        </w:rPr>
      </w:pPr>
    </w:p>
    <w:p w14:paraId="70CC569F" w14:textId="386F5701" w:rsidR="3F4A7013" w:rsidRPr="00A34022" w:rsidRDefault="00F04D46" w:rsidP="00F04D46">
      <w:pPr>
        <w:spacing w:after="160" w:line="259" w:lineRule="auto"/>
        <w:jc w:val="both"/>
        <w:rPr>
          <w:rFonts w:ascii="NobelCE Lt" w:hAnsi="NobelCE Lt"/>
        </w:rPr>
      </w:pPr>
      <w:r>
        <w:rPr>
          <w:rFonts w:ascii="NobelCE Lt" w:hAnsi="NobelCE Lt"/>
        </w:rPr>
        <w:t>S</w:t>
      </w:r>
      <w:r w:rsidR="3F4A7013" w:rsidRPr="00A34022">
        <w:rPr>
          <w:rFonts w:ascii="NobelCE Lt" w:hAnsi="NobelCE Lt"/>
        </w:rPr>
        <w:t>pecifikace bateri</w:t>
      </w:r>
      <w:r w:rsidR="3F4A7013" w:rsidRPr="00A34022">
        <w:rPr>
          <w:rFonts w:ascii="NobelCE Lt" w:hAnsi="NobelCE Lt" w:cs="NobelCE Lt"/>
        </w:rPr>
        <w:t>í</w:t>
      </w:r>
      <w:r w:rsidR="3F4A7013" w:rsidRPr="00A34022">
        <w:rPr>
          <w:rFonts w:ascii="NobelCE Lt" w:hAnsi="NobelCE Lt"/>
        </w:rPr>
        <w:t xml:space="preserve"> pro UX300e</w:t>
      </w:r>
    </w:p>
    <w:tbl>
      <w:tblPr>
        <w:tblW w:w="0" w:type="auto"/>
        <w:tblLayout w:type="fixed"/>
        <w:tblLook w:val="04A0" w:firstRow="1" w:lastRow="0" w:firstColumn="1" w:lastColumn="0" w:noHBand="0" w:noVBand="1"/>
      </w:tblPr>
      <w:tblGrid>
        <w:gridCol w:w="1814"/>
        <w:gridCol w:w="1814"/>
        <w:gridCol w:w="1814"/>
        <w:gridCol w:w="1814"/>
        <w:gridCol w:w="1814"/>
      </w:tblGrid>
      <w:tr w:rsidR="3F4A7013" w:rsidRPr="00A34022" w14:paraId="7D373EC1" w14:textId="77777777" w:rsidTr="3F4A7013">
        <w:tc>
          <w:tcPr>
            <w:tcW w:w="1814" w:type="dxa"/>
          </w:tcPr>
          <w:p w14:paraId="3F06F3F7" w14:textId="2240E670" w:rsidR="3F4A7013" w:rsidRPr="00A34022" w:rsidRDefault="3F4A7013" w:rsidP="00A34022">
            <w:pPr>
              <w:spacing w:after="160" w:line="259" w:lineRule="auto"/>
              <w:jc w:val="both"/>
              <w:rPr>
                <w:rFonts w:ascii="NobelCE Lt" w:hAnsi="NobelCE Lt"/>
              </w:rPr>
            </w:pPr>
            <w:r w:rsidRPr="00A34022">
              <w:rPr>
                <w:rFonts w:ascii="NobelCE Lt" w:hAnsi="NobelCE Lt"/>
              </w:rPr>
              <w:t>Typ</w:t>
            </w:r>
          </w:p>
        </w:tc>
        <w:tc>
          <w:tcPr>
            <w:tcW w:w="1814" w:type="dxa"/>
          </w:tcPr>
          <w:p w14:paraId="4530DEAB" w14:textId="08258824" w:rsidR="3F4A7013" w:rsidRPr="00A34022" w:rsidRDefault="3F4A7013" w:rsidP="00A34022">
            <w:pPr>
              <w:spacing w:after="160" w:line="259" w:lineRule="auto"/>
              <w:jc w:val="both"/>
              <w:rPr>
                <w:rFonts w:ascii="NobelCE Lt" w:hAnsi="NobelCE Lt"/>
              </w:rPr>
            </w:pPr>
            <w:r w:rsidRPr="00A34022">
              <w:rPr>
                <w:rFonts w:ascii="NobelCE Lt" w:hAnsi="NobelCE Lt"/>
              </w:rPr>
              <w:t>Kapacita</w:t>
            </w:r>
          </w:p>
        </w:tc>
        <w:tc>
          <w:tcPr>
            <w:tcW w:w="1814" w:type="dxa"/>
          </w:tcPr>
          <w:p w14:paraId="167F88E8" w14:textId="549E5B4B" w:rsidR="3F4A7013" w:rsidRPr="00A34022" w:rsidRDefault="3F4A7013" w:rsidP="00A34022">
            <w:pPr>
              <w:spacing w:after="160" w:line="259" w:lineRule="auto"/>
              <w:jc w:val="both"/>
              <w:rPr>
                <w:rFonts w:ascii="NobelCE Lt" w:hAnsi="NobelCE Lt"/>
              </w:rPr>
            </w:pPr>
            <w:r w:rsidRPr="00A34022">
              <w:rPr>
                <w:rFonts w:ascii="NobelCE Lt" w:hAnsi="NobelCE Lt"/>
              </w:rPr>
              <w:t xml:space="preserve">Dojezd </w:t>
            </w:r>
          </w:p>
        </w:tc>
        <w:tc>
          <w:tcPr>
            <w:tcW w:w="1814" w:type="dxa"/>
          </w:tcPr>
          <w:p w14:paraId="33369F74" w14:textId="1C228EB9" w:rsidR="3F4A7013" w:rsidRPr="00A34022" w:rsidRDefault="3F4A7013" w:rsidP="00A34022">
            <w:pPr>
              <w:spacing w:after="160" w:line="259" w:lineRule="auto"/>
              <w:jc w:val="both"/>
              <w:rPr>
                <w:rFonts w:ascii="NobelCE Lt" w:hAnsi="NobelCE Lt"/>
              </w:rPr>
            </w:pPr>
            <w:r w:rsidRPr="00A34022">
              <w:rPr>
                <w:rFonts w:ascii="NobelCE Lt" w:hAnsi="NobelCE Lt"/>
              </w:rPr>
              <w:t>Rychlost nabíjení</w:t>
            </w:r>
          </w:p>
        </w:tc>
        <w:tc>
          <w:tcPr>
            <w:tcW w:w="1814" w:type="dxa"/>
          </w:tcPr>
          <w:p w14:paraId="6DA30872" w14:textId="335B10C3" w:rsidR="3F4A7013" w:rsidRPr="00A34022" w:rsidRDefault="3F4A7013" w:rsidP="00A34022">
            <w:pPr>
              <w:spacing w:after="160" w:line="259" w:lineRule="auto"/>
              <w:jc w:val="both"/>
              <w:rPr>
                <w:rFonts w:ascii="NobelCE Lt" w:hAnsi="NobelCE Lt"/>
              </w:rPr>
            </w:pPr>
          </w:p>
        </w:tc>
      </w:tr>
      <w:tr w:rsidR="3F4A7013" w:rsidRPr="00A34022" w14:paraId="4777FD5E" w14:textId="77777777" w:rsidTr="3F4A7013">
        <w:tc>
          <w:tcPr>
            <w:tcW w:w="1814" w:type="dxa"/>
          </w:tcPr>
          <w:p w14:paraId="5C3FFD05" w14:textId="4CB7FBFB" w:rsidR="3F4A7013" w:rsidRPr="00A34022" w:rsidRDefault="3F4A7013" w:rsidP="00A34022">
            <w:pPr>
              <w:spacing w:after="160" w:line="259" w:lineRule="auto"/>
              <w:jc w:val="both"/>
              <w:rPr>
                <w:rFonts w:ascii="NobelCE Lt" w:hAnsi="NobelCE Lt"/>
              </w:rPr>
            </w:pPr>
          </w:p>
        </w:tc>
        <w:tc>
          <w:tcPr>
            <w:tcW w:w="1814" w:type="dxa"/>
          </w:tcPr>
          <w:p w14:paraId="72224C22" w14:textId="6DC6699C" w:rsidR="3F4A7013" w:rsidRPr="00A34022" w:rsidRDefault="3F4A7013" w:rsidP="00A34022">
            <w:pPr>
              <w:spacing w:after="160" w:line="259" w:lineRule="auto"/>
              <w:jc w:val="both"/>
              <w:rPr>
                <w:rFonts w:ascii="NobelCE Lt" w:hAnsi="NobelCE Lt"/>
              </w:rPr>
            </w:pPr>
          </w:p>
        </w:tc>
        <w:tc>
          <w:tcPr>
            <w:tcW w:w="1814" w:type="dxa"/>
          </w:tcPr>
          <w:p w14:paraId="3F4432EE" w14:textId="09772328" w:rsidR="3F4A7013" w:rsidRPr="00A34022" w:rsidRDefault="3F4A7013" w:rsidP="00A34022">
            <w:pPr>
              <w:spacing w:after="160" w:line="259" w:lineRule="auto"/>
              <w:jc w:val="both"/>
              <w:rPr>
                <w:rFonts w:ascii="NobelCE Lt" w:hAnsi="NobelCE Lt"/>
              </w:rPr>
            </w:pPr>
          </w:p>
        </w:tc>
        <w:tc>
          <w:tcPr>
            <w:tcW w:w="1814" w:type="dxa"/>
          </w:tcPr>
          <w:p w14:paraId="72025878" w14:textId="6E44BE96" w:rsidR="3F4A7013" w:rsidRPr="00A34022" w:rsidRDefault="3F4A7013" w:rsidP="00A34022">
            <w:pPr>
              <w:spacing w:after="160" w:line="259" w:lineRule="auto"/>
              <w:jc w:val="both"/>
              <w:rPr>
                <w:rFonts w:ascii="NobelCE Lt" w:hAnsi="NobelCE Lt"/>
              </w:rPr>
            </w:pPr>
            <w:r w:rsidRPr="00A34022">
              <w:rPr>
                <w:rFonts w:ascii="NobelCE Lt" w:hAnsi="NobelCE Lt"/>
              </w:rPr>
              <w:t xml:space="preserve">Standardní nabíjení (AC) </w:t>
            </w:r>
          </w:p>
        </w:tc>
        <w:tc>
          <w:tcPr>
            <w:tcW w:w="1814" w:type="dxa"/>
          </w:tcPr>
          <w:p w14:paraId="3A12C602" w14:textId="2269A578" w:rsidR="3F4A7013" w:rsidRPr="00A34022" w:rsidRDefault="3F4A7013" w:rsidP="00F04D46">
            <w:pPr>
              <w:spacing w:after="160" w:line="259" w:lineRule="auto"/>
              <w:jc w:val="both"/>
              <w:rPr>
                <w:rFonts w:ascii="NobelCE Lt" w:hAnsi="NobelCE Lt"/>
              </w:rPr>
            </w:pPr>
            <w:r w:rsidRPr="00A34022">
              <w:rPr>
                <w:rFonts w:ascii="NobelCE Lt" w:hAnsi="NobelCE Lt"/>
              </w:rPr>
              <w:t>Rychlonabíjení (DC)</w:t>
            </w:r>
            <w:r w:rsidRPr="00A34022">
              <w:rPr>
                <w:rFonts w:ascii="MS Gothic" w:eastAsia="MS Gothic" w:hAnsi="MS Gothic" w:cs="MS Gothic" w:hint="eastAsia"/>
                <w:vertAlign w:val="superscript"/>
              </w:rPr>
              <w:t>＊</w:t>
            </w:r>
          </w:p>
        </w:tc>
      </w:tr>
      <w:tr w:rsidR="3F4A7013" w:rsidRPr="00A34022" w14:paraId="299CBA28" w14:textId="77777777" w:rsidTr="3F4A7013">
        <w:tc>
          <w:tcPr>
            <w:tcW w:w="1814" w:type="dxa"/>
          </w:tcPr>
          <w:p w14:paraId="2BEE1101" w14:textId="4782B391" w:rsidR="3F4A7013" w:rsidRPr="00A34022" w:rsidRDefault="3F4A7013" w:rsidP="00A34022">
            <w:pPr>
              <w:spacing w:after="160" w:line="259" w:lineRule="auto"/>
              <w:jc w:val="both"/>
              <w:rPr>
                <w:rFonts w:ascii="NobelCE Lt" w:hAnsi="NobelCE Lt"/>
              </w:rPr>
            </w:pPr>
            <w:r w:rsidRPr="00A34022">
              <w:rPr>
                <w:rFonts w:ascii="NobelCE Lt" w:hAnsi="NobelCE Lt"/>
              </w:rPr>
              <w:t>Lithium-iontové</w:t>
            </w:r>
          </w:p>
        </w:tc>
        <w:tc>
          <w:tcPr>
            <w:tcW w:w="1814" w:type="dxa"/>
          </w:tcPr>
          <w:p w14:paraId="4324FDC4" w14:textId="7FF5E3A5" w:rsidR="3F4A7013" w:rsidRPr="00A34022" w:rsidRDefault="3F4A7013" w:rsidP="00A34022">
            <w:pPr>
              <w:spacing w:after="160" w:line="259" w:lineRule="auto"/>
              <w:jc w:val="both"/>
              <w:rPr>
                <w:rFonts w:ascii="NobelCE Lt" w:hAnsi="NobelCE Lt"/>
              </w:rPr>
            </w:pPr>
            <w:r w:rsidRPr="00A34022">
              <w:rPr>
                <w:rFonts w:ascii="NobelCE Lt" w:hAnsi="NobelCE Lt"/>
              </w:rPr>
              <w:t>54,3 kWh</w:t>
            </w:r>
          </w:p>
        </w:tc>
        <w:tc>
          <w:tcPr>
            <w:tcW w:w="1814" w:type="dxa"/>
          </w:tcPr>
          <w:p w14:paraId="5C65E42C" w14:textId="25CF77BA" w:rsidR="3F4A7013" w:rsidRPr="00A34022" w:rsidRDefault="3F4A7013" w:rsidP="00F04D46">
            <w:pPr>
              <w:spacing w:after="160" w:line="259" w:lineRule="auto"/>
              <w:jc w:val="both"/>
              <w:rPr>
                <w:rFonts w:ascii="NobelCE Lt" w:hAnsi="NobelCE Lt"/>
              </w:rPr>
            </w:pPr>
            <w:r w:rsidRPr="00A34022">
              <w:rPr>
                <w:rFonts w:ascii="NobelCE Lt" w:hAnsi="NobelCE Lt"/>
              </w:rPr>
              <w:t>400 km</w:t>
            </w:r>
          </w:p>
        </w:tc>
        <w:tc>
          <w:tcPr>
            <w:tcW w:w="1814" w:type="dxa"/>
          </w:tcPr>
          <w:p w14:paraId="6E46C732" w14:textId="70964E1E" w:rsidR="3F4A7013" w:rsidRPr="00A34022" w:rsidRDefault="3F4A7013" w:rsidP="00A34022">
            <w:pPr>
              <w:spacing w:after="160" w:line="259" w:lineRule="auto"/>
              <w:jc w:val="both"/>
              <w:rPr>
                <w:rFonts w:ascii="NobelCE Lt" w:hAnsi="NobelCE Lt"/>
              </w:rPr>
            </w:pPr>
            <w:r w:rsidRPr="00A34022">
              <w:rPr>
                <w:rFonts w:ascii="NobelCE Lt" w:hAnsi="NobelCE Lt"/>
              </w:rPr>
              <w:t>Max. 6,6 kW</w:t>
            </w:r>
          </w:p>
        </w:tc>
        <w:tc>
          <w:tcPr>
            <w:tcW w:w="1814" w:type="dxa"/>
          </w:tcPr>
          <w:p w14:paraId="55F44B1B" w14:textId="2A81EF5F" w:rsidR="3F4A7013" w:rsidRPr="00A34022" w:rsidRDefault="3F4A7013" w:rsidP="00A34022">
            <w:pPr>
              <w:spacing w:after="160" w:line="259" w:lineRule="auto"/>
              <w:jc w:val="both"/>
              <w:rPr>
                <w:rFonts w:ascii="NobelCE Lt" w:hAnsi="NobelCE Lt"/>
              </w:rPr>
            </w:pPr>
            <w:r w:rsidRPr="00A34022">
              <w:rPr>
                <w:rFonts w:ascii="NobelCE Lt" w:hAnsi="NobelCE Lt"/>
              </w:rPr>
              <w:t>Max. 50 kW</w:t>
            </w:r>
          </w:p>
        </w:tc>
      </w:tr>
    </w:tbl>
    <w:p w14:paraId="1026E398" w14:textId="095383FD" w:rsidR="3F4A7013" w:rsidRPr="00A34022" w:rsidRDefault="3F4A7013" w:rsidP="00A34022">
      <w:pPr>
        <w:spacing w:after="160" w:line="259" w:lineRule="auto"/>
        <w:jc w:val="both"/>
        <w:rPr>
          <w:rFonts w:ascii="NobelCE Lt" w:hAnsi="NobelCE Lt"/>
        </w:rPr>
      </w:pPr>
    </w:p>
    <w:p w14:paraId="494CEC35" w14:textId="4D567857" w:rsidR="3F4A7013" w:rsidRPr="00A34022" w:rsidRDefault="3F4A7013" w:rsidP="00A34022">
      <w:pPr>
        <w:spacing w:after="160" w:line="259" w:lineRule="auto"/>
        <w:jc w:val="both"/>
        <w:rPr>
          <w:rFonts w:ascii="NobelCE Lt" w:hAnsi="NobelCE Lt"/>
        </w:rPr>
      </w:pPr>
    </w:p>
    <w:p w14:paraId="5707A869" w14:textId="703D7456" w:rsidR="3F4A7013" w:rsidRPr="00A34022" w:rsidRDefault="3F4A7013" w:rsidP="00A34022">
      <w:pPr>
        <w:spacing w:after="160" w:line="259" w:lineRule="auto"/>
        <w:jc w:val="both"/>
        <w:rPr>
          <w:rFonts w:ascii="NobelCE Lt" w:hAnsi="NobelCE Lt"/>
        </w:rPr>
      </w:pPr>
      <w:r w:rsidRPr="00A34022">
        <w:rPr>
          <w:rFonts w:ascii="NobelCE Lt" w:hAnsi="NobelCE Lt"/>
          <w:b/>
          <w:bCs/>
        </w:rPr>
        <w:t>Opět s markantním designem a vysokou praktičností původního modelu UX</w:t>
      </w:r>
    </w:p>
    <w:p w14:paraId="79953F92" w14:textId="441F4C54" w:rsidR="3F4A7013" w:rsidRPr="00A34022" w:rsidRDefault="3F4A7013" w:rsidP="00A34022">
      <w:pPr>
        <w:spacing w:after="160" w:line="259" w:lineRule="auto"/>
        <w:jc w:val="both"/>
        <w:rPr>
          <w:rFonts w:ascii="NobelCE Lt" w:hAnsi="NobelCE Lt"/>
        </w:rPr>
      </w:pPr>
      <w:r w:rsidRPr="00A34022">
        <w:rPr>
          <w:rFonts w:ascii="NobelCE Lt" w:hAnsi="NobelCE Lt"/>
        </w:rPr>
        <w:t xml:space="preserve">Markantní stylistické ztvárnění a vysoká praktičnost kompaktního crossoveru Lexus UX se samozřejmě přenáší i na UX 300e, které tak zákazníkům dokáže nabídnout skutečně komplexní vlastnosti. </w:t>
      </w:r>
    </w:p>
    <w:p w14:paraId="5955FACC" w14:textId="584F942C" w:rsidR="3F4A7013" w:rsidRPr="00A34022" w:rsidRDefault="3F4A7013" w:rsidP="00A34022">
      <w:pPr>
        <w:pStyle w:val="ListParagraph"/>
        <w:numPr>
          <w:ilvl w:val="0"/>
          <w:numId w:val="1"/>
        </w:numPr>
        <w:spacing w:after="160" w:line="259" w:lineRule="auto"/>
        <w:ind w:left="0"/>
        <w:jc w:val="both"/>
        <w:rPr>
          <w:rFonts w:ascii="NobelCE Lt" w:hAnsi="NobelCE Lt"/>
        </w:rPr>
      </w:pPr>
      <w:r w:rsidRPr="00A34022">
        <w:rPr>
          <w:rFonts w:ascii="NobelCE Lt" w:hAnsi="NobelCE Lt"/>
        </w:rPr>
        <w:t xml:space="preserve">Kromě smělé a rafinované vnější podoby, poukazující na odolnost a agilní jízdní schopnosti, vyvinul Lexus pro UX 300e speciální aerodynamická kola a zakrytování podvozku. </w:t>
      </w:r>
    </w:p>
    <w:p w14:paraId="61A98486" w14:textId="0971601E" w:rsidR="3F4A7013" w:rsidRPr="00A34022" w:rsidRDefault="3F4A7013" w:rsidP="00A34022">
      <w:pPr>
        <w:pStyle w:val="ListParagraph"/>
        <w:numPr>
          <w:ilvl w:val="0"/>
          <w:numId w:val="1"/>
        </w:numPr>
        <w:spacing w:after="160" w:line="259" w:lineRule="auto"/>
        <w:ind w:left="0"/>
        <w:jc w:val="both"/>
        <w:rPr>
          <w:rFonts w:ascii="NobelCE Lt" w:hAnsi="NobelCE Lt"/>
        </w:rPr>
      </w:pPr>
      <w:r w:rsidRPr="00A34022">
        <w:rPr>
          <w:rFonts w:ascii="NobelCE Lt" w:hAnsi="NobelCE Lt"/>
        </w:rPr>
        <w:t xml:space="preserve">K jednoduchosti a funkčnosti interiéru přispívá i umístění systému elektronického řazení na středovém panelu. </w:t>
      </w:r>
    </w:p>
    <w:p w14:paraId="6983A1F3" w14:textId="5BB36324" w:rsidR="3F4A7013" w:rsidRPr="00A34022" w:rsidRDefault="3F4A7013" w:rsidP="00A34022">
      <w:pPr>
        <w:pStyle w:val="ListParagraph"/>
        <w:numPr>
          <w:ilvl w:val="0"/>
          <w:numId w:val="1"/>
        </w:numPr>
        <w:spacing w:after="160" w:line="259" w:lineRule="auto"/>
        <w:ind w:left="0"/>
        <w:jc w:val="both"/>
        <w:rPr>
          <w:rFonts w:ascii="NobelCE Lt" w:hAnsi="NobelCE Lt"/>
        </w:rPr>
      </w:pPr>
      <w:r w:rsidRPr="00A34022">
        <w:rPr>
          <w:rFonts w:ascii="NobelCE Lt" w:hAnsi="NobelCE Lt"/>
        </w:rPr>
        <w:t>Lexus klade důraz na vývoj těch nejvyspělejších bezpečnostních technologií, které také v rychlém sledu nabízí řidičům. UX 300e opět používá bezpečnostní paket Lexus Safety System+ v souladu s nepolevující snahou značky předcházet dopravním nehodám a smrtelným zraněním, stejně tak jako potlačovat psychickou námahu při řízení a vyvíjet systémy na podporu řízení pro požitek z přirozené a bezpečné jízdy.</w:t>
      </w:r>
    </w:p>
    <w:p w14:paraId="30DE3FEA" w14:textId="6842BAB4" w:rsidR="3F4A7013" w:rsidRPr="00A34022" w:rsidRDefault="3F4A7013" w:rsidP="3F4A7013">
      <w:pPr>
        <w:spacing w:after="160" w:line="259" w:lineRule="auto"/>
        <w:jc w:val="both"/>
        <w:rPr>
          <w:rFonts w:ascii="NobelCE Lt" w:hAnsi="NobelCE Lt"/>
          <w:color w:val="000000" w:themeColor="text1"/>
        </w:rPr>
      </w:pPr>
    </w:p>
    <w:p w14:paraId="54630E31" w14:textId="7205C633" w:rsidR="00F87C11" w:rsidRPr="00A34022" w:rsidRDefault="00DB30A9">
      <w:pPr>
        <w:spacing w:before="120"/>
        <w:jc w:val="both"/>
        <w:rPr>
          <w:rFonts w:ascii="NobelCE Lt" w:hAnsi="NobelCE Lt"/>
          <w:b/>
          <w:szCs w:val="20"/>
        </w:rPr>
      </w:pPr>
      <w:r w:rsidRPr="00A34022">
        <w:rPr>
          <w:rFonts w:ascii="NobelCE Lt" w:hAnsi="NobelCE Lt"/>
          <w:szCs w:val="36"/>
        </w:rPr>
        <w:t>Více informací:</w:t>
      </w:r>
    </w:p>
    <w:p w14:paraId="77244EC2" w14:textId="77777777" w:rsidR="00F87C11" w:rsidRPr="00A34022" w:rsidRDefault="00DB30A9">
      <w:pPr>
        <w:spacing w:before="120"/>
        <w:rPr>
          <w:rFonts w:ascii="NobelCE Lt" w:hAnsi="NobelCE Lt"/>
          <w:b/>
          <w:bCs/>
          <w:szCs w:val="22"/>
        </w:rPr>
      </w:pPr>
      <w:r w:rsidRPr="00A34022">
        <w:rPr>
          <w:rFonts w:ascii="NobelCE Lt" w:hAnsi="NobelCE Lt"/>
          <w:b/>
          <w:bCs/>
          <w:szCs w:val="22"/>
        </w:rPr>
        <w:t xml:space="preserve">Jitka Jechová </w:t>
      </w:r>
    </w:p>
    <w:p w14:paraId="46EE4F6E" w14:textId="77777777" w:rsidR="00F87C11" w:rsidRPr="00A34022" w:rsidRDefault="00DB30A9">
      <w:pPr>
        <w:spacing w:before="120"/>
        <w:rPr>
          <w:rFonts w:ascii="NobelCE Lt" w:hAnsi="NobelCE Lt"/>
          <w:b/>
          <w:bCs/>
          <w:szCs w:val="22"/>
          <w:lang w:eastAsia="cs-CZ"/>
        </w:rPr>
      </w:pPr>
      <w:r w:rsidRPr="00A34022">
        <w:rPr>
          <w:rFonts w:ascii="NobelCE Lt" w:hAnsi="NobelCE Lt"/>
          <w:szCs w:val="22"/>
          <w:lang w:eastAsia="cs-CZ"/>
        </w:rPr>
        <w:t xml:space="preserve">PR Manager </w:t>
      </w:r>
    </w:p>
    <w:p w14:paraId="3F69F89E" w14:textId="77777777" w:rsidR="00F87C11" w:rsidRPr="00A34022" w:rsidRDefault="00F87C11">
      <w:pPr>
        <w:spacing w:before="120"/>
        <w:rPr>
          <w:rFonts w:ascii="NobelCE Lt" w:hAnsi="NobelCE Lt" w:cs="Arial"/>
          <w:b/>
          <w:bCs/>
          <w:szCs w:val="22"/>
        </w:rPr>
      </w:pPr>
    </w:p>
    <w:p w14:paraId="5F738E14" w14:textId="77777777" w:rsidR="00F87C11" w:rsidRPr="00A34022" w:rsidRDefault="00DB30A9">
      <w:pPr>
        <w:spacing w:before="120"/>
        <w:rPr>
          <w:rFonts w:ascii="NobelCE Lt" w:hAnsi="NobelCE Lt" w:cs="Arial"/>
          <w:b/>
          <w:bCs/>
          <w:szCs w:val="22"/>
        </w:rPr>
      </w:pPr>
      <w:r w:rsidRPr="00A34022">
        <w:rPr>
          <w:rFonts w:ascii="NobelCE Lt" w:hAnsi="NobelCE Lt" w:cs="Arial"/>
          <w:b/>
          <w:bCs/>
          <w:szCs w:val="22"/>
        </w:rPr>
        <w:t>Toyota Central Europe – Czech s.r.o.</w:t>
      </w:r>
    </w:p>
    <w:p w14:paraId="6F1E7672" w14:textId="77777777" w:rsidR="00F87C11" w:rsidRPr="00A34022" w:rsidRDefault="00DB30A9">
      <w:pPr>
        <w:spacing w:before="120"/>
        <w:rPr>
          <w:rFonts w:ascii="NobelCE Lt" w:hAnsi="NobelCE Lt" w:cs="Arial"/>
          <w:szCs w:val="22"/>
        </w:rPr>
      </w:pPr>
      <w:r w:rsidRPr="00A34022">
        <w:rPr>
          <w:rFonts w:ascii="NobelCE Lt" w:hAnsi="NobelCE Lt" w:cs="Arial"/>
          <w:szCs w:val="22"/>
        </w:rPr>
        <w:t>Bavorská 2662/1</w:t>
      </w:r>
    </w:p>
    <w:p w14:paraId="7EB2E3CE" w14:textId="77777777" w:rsidR="00F87C11" w:rsidRPr="00A34022" w:rsidRDefault="00DB30A9">
      <w:pPr>
        <w:spacing w:before="120"/>
        <w:rPr>
          <w:rFonts w:ascii="NobelCE Lt" w:hAnsi="NobelCE Lt" w:cs="Arial"/>
          <w:szCs w:val="22"/>
        </w:rPr>
      </w:pPr>
      <w:r w:rsidRPr="00A34022">
        <w:rPr>
          <w:rFonts w:ascii="NobelCE Lt" w:hAnsi="NobelCE Lt" w:cs="Arial"/>
          <w:szCs w:val="22"/>
        </w:rPr>
        <w:t>155 00  Praha 5</w:t>
      </w:r>
    </w:p>
    <w:p w14:paraId="630A3312" w14:textId="77777777" w:rsidR="00F87C11" w:rsidRPr="00A34022" w:rsidRDefault="00F87C11">
      <w:pPr>
        <w:spacing w:before="120"/>
        <w:rPr>
          <w:rFonts w:ascii="NobelCE Lt" w:hAnsi="NobelCE Lt" w:cs="Arial"/>
          <w:szCs w:val="22"/>
        </w:rPr>
      </w:pPr>
    </w:p>
    <w:p w14:paraId="195632C7" w14:textId="77777777" w:rsidR="00F87C11" w:rsidRPr="00F04D46" w:rsidRDefault="00DB30A9">
      <w:pPr>
        <w:spacing w:before="120"/>
        <w:rPr>
          <w:rFonts w:ascii="NobelCE Lt" w:hAnsi="NobelCE Lt"/>
          <w:szCs w:val="22"/>
          <w:lang w:val="fr-FR" w:eastAsia="cs-CZ"/>
        </w:rPr>
      </w:pPr>
      <w:r w:rsidRPr="00F04D46">
        <w:rPr>
          <w:rFonts w:ascii="NobelCE Lt" w:hAnsi="NobelCE Lt"/>
          <w:szCs w:val="22"/>
          <w:lang w:val="fr-FR" w:eastAsia="cs-CZ"/>
        </w:rPr>
        <w:t>Phone: +420 222 992 209</w:t>
      </w:r>
    </w:p>
    <w:p w14:paraId="1AE6ABBA" w14:textId="77777777" w:rsidR="00F87C11" w:rsidRPr="00F04D46" w:rsidRDefault="00DB30A9">
      <w:pPr>
        <w:spacing w:before="120"/>
        <w:rPr>
          <w:rFonts w:ascii="NobelCE Lt" w:hAnsi="NobelCE Lt"/>
          <w:szCs w:val="22"/>
          <w:lang w:val="fr-FR" w:eastAsia="cs-CZ"/>
        </w:rPr>
      </w:pPr>
      <w:r w:rsidRPr="00F04D46">
        <w:rPr>
          <w:rFonts w:ascii="NobelCE Lt" w:hAnsi="NobelCE Lt"/>
          <w:szCs w:val="22"/>
          <w:lang w:val="fr-FR" w:eastAsia="cs-CZ"/>
        </w:rPr>
        <w:t>Mobile: +420 731 626 250</w:t>
      </w:r>
    </w:p>
    <w:p w14:paraId="7ED9A973" w14:textId="2330CF66" w:rsidR="00F87C11" w:rsidRDefault="001E5FA4">
      <w:pPr>
        <w:spacing w:before="120"/>
      </w:pPr>
      <w:hyperlink r:id="rId9">
        <w:r w:rsidR="00DB30A9" w:rsidRPr="00F04D46">
          <w:rPr>
            <w:rStyle w:val="Internetovodkaz"/>
            <w:rFonts w:ascii="NobelCE Lt" w:hAnsi="NobelCE Lt"/>
            <w:szCs w:val="22"/>
            <w:lang w:val="fr-FR" w:eastAsia="cs-CZ"/>
          </w:rPr>
          <w:t>jitka.jechova@toyota-ce.com</w:t>
        </w:r>
      </w:hyperlink>
      <w:r w:rsidR="00DB30A9" w:rsidRPr="00F04D46">
        <w:rPr>
          <w:rFonts w:ascii="NobelCE Lt" w:hAnsi="NobelCE Lt"/>
          <w:szCs w:val="22"/>
          <w:lang w:val="fr-FR" w:eastAsia="cs-CZ"/>
        </w:rPr>
        <w:t xml:space="preserve"> </w:t>
      </w:r>
    </w:p>
    <w:sectPr w:rsidR="00F87C11">
      <w:pgSz w:w="11906" w:h="16838"/>
      <w:pgMar w:top="993" w:right="1417" w:bottom="851" w:left="1417" w:header="0"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D3C0B" w14:textId="77777777" w:rsidR="007020E4" w:rsidRDefault="007020E4" w:rsidP="004B2E5C">
      <w:r>
        <w:separator/>
      </w:r>
    </w:p>
  </w:endnote>
  <w:endnote w:type="continuationSeparator" w:id="0">
    <w:p w14:paraId="55C164AF" w14:textId="77777777" w:rsidR="007020E4" w:rsidRDefault="007020E4" w:rsidP="004B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panose1 w:val="02000503040000020004"/>
    <w:charset w:val="00"/>
    <w:family w:val="auto"/>
    <w:pitch w:val="variable"/>
    <w:sig w:usb0="A0002AA7" w:usb1="0000004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NobelCE Lt">
    <w:altName w:val="Calibri"/>
    <w:panose1 w:val="02000506020000020004"/>
    <w:charset w:val="00"/>
    <w:family w:val="modern"/>
    <w:notTrueType/>
    <w:pitch w:val="variable"/>
    <w:sig w:usb0="A00000AF" w:usb1="5000204A" w:usb2="00000000" w:usb3="00000000" w:csb0="00000193" w:csb1="00000000"/>
  </w:font>
  <w:font w:name="NobelCE Bk">
    <w:panose1 w:val="02000503040000020004"/>
    <w:charset w:val="00"/>
    <w:family w:val="modern"/>
    <w:notTrueType/>
    <w:pitch w:val="variable"/>
    <w:sig w:usb0="A00000AF"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DC129" w14:textId="77777777" w:rsidR="007020E4" w:rsidRDefault="007020E4" w:rsidP="004B2E5C">
      <w:r>
        <w:separator/>
      </w:r>
    </w:p>
  </w:footnote>
  <w:footnote w:type="continuationSeparator" w:id="0">
    <w:p w14:paraId="259DA685" w14:textId="77777777" w:rsidR="007020E4" w:rsidRDefault="007020E4" w:rsidP="004B2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14E"/>
    <w:multiLevelType w:val="hybridMultilevel"/>
    <w:tmpl w:val="8E20F3E2"/>
    <w:lvl w:ilvl="0" w:tplc="BF26AC9E">
      <w:start w:val="1"/>
      <w:numFmt w:val="bullet"/>
      <w:lvlText w:val=""/>
      <w:lvlJc w:val="left"/>
      <w:pPr>
        <w:ind w:left="720" w:hanging="360"/>
      </w:pPr>
      <w:rPr>
        <w:rFonts w:ascii="Symbol" w:hAnsi="Symbol" w:hint="default"/>
      </w:rPr>
    </w:lvl>
    <w:lvl w:ilvl="1" w:tplc="B650A858">
      <w:start w:val="1"/>
      <w:numFmt w:val="bullet"/>
      <w:lvlText w:val="o"/>
      <w:lvlJc w:val="left"/>
      <w:pPr>
        <w:ind w:left="1440" w:hanging="360"/>
      </w:pPr>
      <w:rPr>
        <w:rFonts w:ascii="Courier New" w:hAnsi="Courier New" w:hint="default"/>
      </w:rPr>
    </w:lvl>
    <w:lvl w:ilvl="2" w:tplc="E26AC196">
      <w:start w:val="1"/>
      <w:numFmt w:val="bullet"/>
      <w:lvlText w:val=""/>
      <w:lvlJc w:val="left"/>
      <w:pPr>
        <w:ind w:left="2160" w:hanging="360"/>
      </w:pPr>
      <w:rPr>
        <w:rFonts w:ascii="Wingdings" w:hAnsi="Wingdings" w:hint="default"/>
      </w:rPr>
    </w:lvl>
    <w:lvl w:ilvl="3" w:tplc="53C8AE4C">
      <w:start w:val="1"/>
      <w:numFmt w:val="bullet"/>
      <w:lvlText w:val=""/>
      <w:lvlJc w:val="left"/>
      <w:pPr>
        <w:ind w:left="2880" w:hanging="360"/>
      </w:pPr>
      <w:rPr>
        <w:rFonts w:ascii="Symbol" w:hAnsi="Symbol" w:hint="default"/>
      </w:rPr>
    </w:lvl>
    <w:lvl w:ilvl="4" w:tplc="3D123D96">
      <w:start w:val="1"/>
      <w:numFmt w:val="bullet"/>
      <w:lvlText w:val="o"/>
      <w:lvlJc w:val="left"/>
      <w:pPr>
        <w:ind w:left="3600" w:hanging="360"/>
      </w:pPr>
      <w:rPr>
        <w:rFonts w:ascii="Courier New" w:hAnsi="Courier New" w:hint="default"/>
      </w:rPr>
    </w:lvl>
    <w:lvl w:ilvl="5" w:tplc="F7A624E0">
      <w:start w:val="1"/>
      <w:numFmt w:val="bullet"/>
      <w:lvlText w:val=""/>
      <w:lvlJc w:val="left"/>
      <w:pPr>
        <w:ind w:left="4320" w:hanging="360"/>
      </w:pPr>
      <w:rPr>
        <w:rFonts w:ascii="Wingdings" w:hAnsi="Wingdings" w:hint="default"/>
      </w:rPr>
    </w:lvl>
    <w:lvl w:ilvl="6" w:tplc="1B3E6456">
      <w:start w:val="1"/>
      <w:numFmt w:val="bullet"/>
      <w:lvlText w:val=""/>
      <w:lvlJc w:val="left"/>
      <w:pPr>
        <w:ind w:left="5040" w:hanging="360"/>
      </w:pPr>
      <w:rPr>
        <w:rFonts w:ascii="Symbol" w:hAnsi="Symbol" w:hint="default"/>
      </w:rPr>
    </w:lvl>
    <w:lvl w:ilvl="7" w:tplc="BFAA7478">
      <w:start w:val="1"/>
      <w:numFmt w:val="bullet"/>
      <w:lvlText w:val="o"/>
      <w:lvlJc w:val="left"/>
      <w:pPr>
        <w:ind w:left="5760" w:hanging="360"/>
      </w:pPr>
      <w:rPr>
        <w:rFonts w:ascii="Courier New" w:hAnsi="Courier New" w:hint="default"/>
      </w:rPr>
    </w:lvl>
    <w:lvl w:ilvl="8" w:tplc="973C7C72">
      <w:start w:val="1"/>
      <w:numFmt w:val="bullet"/>
      <w:lvlText w:val=""/>
      <w:lvlJc w:val="left"/>
      <w:pPr>
        <w:ind w:left="6480" w:hanging="360"/>
      </w:pPr>
      <w:rPr>
        <w:rFonts w:ascii="Wingdings" w:hAnsi="Wingdings" w:hint="default"/>
      </w:rPr>
    </w:lvl>
  </w:abstractNum>
  <w:abstractNum w:abstractNumId="1" w15:restartNumberingAfterBreak="0">
    <w:nsid w:val="234F52FE"/>
    <w:multiLevelType w:val="hybridMultilevel"/>
    <w:tmpl w:val="3198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612CE"/>
    <w:multiLevelType w:val="hybridMultilevel"/>
    <w:tmpl w:val="40F4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E56B1B"/>
    <w:multiLevelType w:val="hybridMultilevel"/>
    <w:tmpl w:val="1D2EED48"/>
    <w:lvl w:ilvl="0" w:tplc="7F38F9F6">
      <w:numFmt w:val="bullet"/>
      <w:lvlText w:val="-"/>
      <w:lvlJc w:val="left"/>
      <w:pPr>
        <w:ind w:left="720" w:hanging="360"/>
      </w:pPr>
      <w:rPr>
        <w:rFonts w:ascii="Nobel-Book" w:eastAsia="SimSun"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32BDE"/>
    <w:multiLevelType w:val="hybridMultilevel"/>
    <w:tmpl w:val="48D81B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170E6C"/>
    <w:multiLevelType w:val="hybridMultilevel"/>
    <w:tmpl w:val="00B2FF52"/>
    <w:lvl w:ilvl="0" w:tplc="8C7038D0">
      <w:start w:val="1"/>
      <w:numFmt w:val="bullet"/>
      <w:lvlText w:val=""/>
      <w:lvlJc w:val="left"/>
      <w:pPr>
        <w:ind w:left="720" w:hanging="360"/>
      </w:pPr>
      <w:rPr>
        <w:rFonts w:ascii="Symbol" w:hAnsi="Symbol" w:hint="default"/>
      </w:rPr>
    </w:lvl>
    <w:lvl w:ilvl="1" w:tplc="DEA63D12">
      <w:start w:val="1"/>
      <w:numFmt w:val="bullet"/>
      <w:lvlText w:val="o"/>
      <w:lvlJc w:val="left"/>
      <w:pPr>
        <w:ind w:left="1440" w:hanging="360"/>
      </w:pPr>
      <w:rPr>
        <w:rFonts w:ascii="Courier New" w:hAnsi="Courier New" w:hint="default"/>
      </w:rPr>
    </w:lvl>
    <w:lvl w:ilvl="2" w:tplc="49C461EE">
      <w:start w:val="1"/>
      <w:numFmt w:val="bullet"/>
      <w:lvlText w:val=""/>
      <w:lvlJc w:val="left"/>
      <w:pPr>
        <w:ind w:left="2160" w:hanging="360"/>
      </w:pPr>
      <w:rPr>
        <w:rFonts w:ascii="Wingdings" w:hAnsi="Wingdings" w:hint="default"/>
      </w:rPr>
    </w:lvl>
    <w:lvl w:ilvl="3" w:tplc="6688FF5C">
      <w:start w:val="1"/>
      <w:numFmt w:val="bullet"/>
      <w:lvlText w:val=""/>
      <w:lvlJc w:val="left"/>
      <w:pPr>
        <w:ind w:left="2880" w:hanging="360"/>
      </w:pPr>
      <w:rPr>
        <w:rFonts w:ascii="Symbol" w:hAnsi="Symbol" w:hint="default"/>
      </w:rPr>
    </w:lvl>
    <w:lvl w:ilvl="4" w:tplc="F2B6B3D6">
      <w:start w:val="1"/>
      <w:numFmt w:val="bullet"/>
      <w:lvlText w:val="o"/>
      <w:lvlJc w:val="left"/>
      <w:pPr>
        <w:ind w:left="3600" w:hanging="360"/>
      </w:pPr>
      <w:rPr>
        <w:rFonts w:ascii="Courier New" w:hAnsi="Courier New" w:hint="default"/>
      </w:rPr>
    </w:lvl>
    <w:lvl w:ilvl="5" w:tplc="AED23FBA">
      <w:start w:val="1"/>
      <w:numFmt w:val="bullet"/>
      <w:lvlText w:val=""/>
      <w:lvlJc w:val="left"/>
      <w:pPr>
        <w:ind w:left="4320" w:hanging="360"/>
      </w:pPr>
      <w:rPr>
        <w:rFonts w:ascii="Wingdings" w:hAnsi="Wingdings" w:hint="default"/>
      </w:rPr>
    </w:lvl>
    <w:lvl w:ilvl="6" w:tplc="2ED03704">
      <w:start w:val="1"/>
      <w:numFmt w:val="bullet"/>
      <w:lvlText w:val=""/>
      <w:lvlJc w:val="left"/>
      <w:pPr>
        <w:ind w:left="5040" w:hanging="360"/>
      </w:pPr>
      <w:rPr>
        <w:rFonts w:ascii="Symbol" w:hAnsi="Symbol" w:hint="default"/>
      </w:rPr>
    </w:lvl>
    <w:lvl w:ilvl="7" w:tplc="F1AC0B22">
      <w:start w:val="1"/>
      <w:numFmt w:val="bullet"/>
      <w:lvlText w:val="o"/>
      <w:lvlJc w:val="left"/>
      <w:pPr>
        <w:ind w:left="5760" w:hanging="360"/>
      </w:pPr>
      <w:rPr>
        <w:rFonts w:ascii="Courier New" w:hAnsi="Courier New" w:hint="default"/>
      </w:rPr>
    </w:lvl>
    <w:lvl w:ilvl="8" w:tplc="5832FC3A">
      <w:start w:val="1"/>
      <w:numFmt w:val="bullet"/>
      <w:lvlText w:val=""/>
      <w:lvlJc w:val="left"/>
      <w:pPr>
        <w:ind w:left="6480" w:hanging="360"/>
      </w:pPr>
      <w:rPr>
        <w:rFonts w:ascii="Wingdings" w:hAnsi="Wingdings" w:hint="default"/>
      </w:rPr>
    </w:lvl>
  </w:abstractNum>
  <w:abstractNum w:abstractNumId="6" w15:restartNumberingAfterBreak="0">
    <w:nsid w:val="408D2D59"/>
    <w:multiLevelType w:val="hybridMultilevel"/>
    <w:tmpl w:val="DC34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700EF3"/>
    <w:multiLevelType w:val="hybridMultilevel"/>
    <w:tmpl w:val="5F6AB920"/>
    <w:lvl w:ilvl="0" w:tplc="7E2AACA8">
      <w:start w:val="1"/>
      <w:numFmt w:val="bullet"/>
      <w:lvlText w:val=""/>
      <w:lvlJc w:val="left"/>
      <w:pPr>
        <w:ind w:left="720" w:hanging="360"/>
      </w:pPr>
      <w:rPr>
        <w:rFonts w:ascii="Symbol" w:hAnsi="Symbol" w:hint="default"/>
      </w:rPr>
    </w:lvl>
    <w:lvl w:ilvl="1" w:tplc="3236939E">
      <w:start w:val="1"/>
      <w:numFmt w:val="bullet"/>
      <w:lvlText w:val="o"/>
      <w:lvlJc w:val="left"/>
      <w:pPr>
        <w:ind w:left="1440" w:hanging="360"/>
      </w:pPr>
      <w:rPr>
        <w:rFonts w:ascii="Courier New" w:hAnsi="Courier New" w:hint="default"/>
      </w:rPr>
    </w:lvl>
    <w:lvl w:ilvl="2" w:tplc="841CC8A2">
      <w:start w:val="1"/>
      <w:numFmt w:val="bullet"/>
      <w:lvlText w:val=""/>
      <w:lvlJc w:val="left"/>
      <w:pPr>
        <w:ind w:left="2160" w:hanging="360"/>
      </w:pPr>
      <w:rPr>
        <w:rFonts w:ascii="Wingdings" w:hAnsi="Wingdings" w:hint="default"/>
      </w:rPr>
    </w:lvl>
    <w:lvl w:ilvl="3" w:tplc="93187F16">
      <w:start w:val="1"/>
      <w:numFmt w:val="bullet"/>
      <w:lvlText w:val=""/>
      <w:lvlJc w:val="left"/>
      <w:pPr>
        <w:ind w:left="2880" w:hanging="360"/>
      </w:pPr>
      <w:rPr>
        <w:rFonts w:ascii="Symbol" w:hAnsi="Symbol" w:hint="default"/>
      </w:rPr>
    </w:lvl>
    <w:lvl w:ilvl="4" w:tplc="0F2A3E98">
      <w:start w:val="1"/>
      <w:numFmt w:val="bullet"/>
      <w:lvlText w:val="o"/>
      <w:lvlJc w:val="left"/>
      <w:pPr>
        <w:ind w:left="3600" w:hanging="360"/>
      </w:pPr>
      <w:rPr>
        <w:rFonts w:ascii="Courier New" w:hAnsi="Courier New" w:hint="default"/>
      </w:rPr>
    </w:lvl>
    <w:lvl w:ilvl="5" w:tplc="9E828800">
      <w:start w:val="1"/>
      <w:numFmt w:val="bullet"/>
      <w:lvlText w:val=""/>
      <w:lvlJc w:val="left"/>
      <w:pPr>
        <w:ind w:left="4320" w:hanging="360"/>
      </w:pPr>
      <w:rPr>
        <w:rFonts w:ascii="Wingdings" w:hAnsi="Wingdings" w:hint="default"/>
      </w:rPr>
    </w:lvl>
    <w:lvl w:ilvl="6" w:tplc="CD3E3C96">
      <w:start w:val="1"/>
      <w:numFmt w:val="bullet"/>
      <w:lvlText w:val=""/>
      <w:lvlJc w:val="left"/>
      <w:pPr>
        <w:ind w:left="5040" w:hanging="360"/>
      </w:pPr>
      <w:rPr>
        <w:rFonts w:ascii="Symbol" w:hAnsi="Symbol" w:hint="default"/>
      </w:rPr>
    </w:lvl>
    <w:lvl w:ilvl="7" w:tplc="D8B413A8">
      <w:start w:val="1"/>
      <w:numFmt w:val="bullet"/>
      <w:lvlText w:val="o"/>
      <w:lvlJc w:val="left"/>
      <w:pPr>
        <w:ind w:left="5760" w:hanging="360"/>
      </w:pPr>
      <w:rPr>
        <w:rFonts w:ascii="Courier New" w:hAnsi="Courier New" w:hint="default"/>
      </w:rPr>
    </w:lvl>
    <w:lvl w:ilvl="8" w:tplc="5914D6DA">
      <w:start w:val="1"/>
      <w:numFmt w:val="bullet"/>
      <w:lvlText w:val=""/>
      <w:lvlJc w:val="left"/>
      <w:pPr>
        <w:ind w:left="6480" w:hanging="360"/>
      </w:pPr>
      <w:rPr>
        <w:rFonts w:ascii="Wingdings" w:hAnsi="Wingdings" w:hint="default"/>
      </w:rPr>
    </w:lvl>
  </w:abstractNum>
  <w:abstractNum w:abstractNumId="8" w15:restartNumberingAfterBreak="0">
    <w:nsid w:val="54132FFB"/>
    <w:multiLevelType w:val="hybridMultilevel"/>
    <w:tmpl w:val="F5C8C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DA19BB"/>
    <w:multiLevelType w:val="hybridMultilevel"/>
    <w:tmpl w:val="93244C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230780B"/>
    <w:multiLevelType w:val="hybridMultilevel"/>
    <w:tmpl w:val="FEBE6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6D51DF"/>
    <w:multiLevelType w:val="hybridMultilevel"/>
    <w:tmpl w:val="51CEB476"/>
    <w:lvl w:ilvl="0" w:tplc="88DCBF5C">
      <w:start w:val="1"/>
      <w:numFmt w:val="bullet"/>
      <w:lvlText w:val=""/>
      <w:lvlJc w:val="left"/>
      <w:pPr>
        <w:ind w:left="720" w:hanging="360"/>
      </w:pPr>
      <w:rPr>
        <w:rFonts w:ascii="Symbol" w:hAnsi="Symbol" w:hint="default"/>
      </w:rPr>
    </w:lvl>
    <w:lvl w:ilvl="1" w:tplc="AEB83AFA">
      <w:start w:val="1"/>
      <w:numFmt w:val="bullet"/>
      <w:lvlText w:val="o"/>
      <w:lvlJc w:val="left"/>
      <w:pPr>
        <w:ind w:left="1440" w:hanging="360"/>
      </w:pPr>
      <w:rPr>
        <w:rFonts w:ascii="Courier New" w:hAnsi="Courier New" w:hint="default"/>
      </w:rPr>
    </w:lvl>
    <w:lvl w:ilvl="2" w:tplc="0270D914">
      <w:start w:val="1"/>
      <w:numFmt w:val="bullet"/>
      <w:lvlText w:val=""/>
      <w:lvlJc w:val="left"/>
      <w:pPr>
        <w:ind w:left="2160" w:hanging="360"/>
      </w:pPr>
      <w:rPr>
        <w:rFonts w:ascii="Wingdings" w:hAnsi="Wingdings" w:hint="default"/>
      </w:rPr>
    </w:lvl>
    <w:lvl w:ilvl="3" w:tplc="97205250">
      <w:start w:val="1"/>
      <w:numFmt w:val="bullet"/>
      <w:lvlText w:val=""/>
      <w:lvlJc w:val="left"/>
      <w:pPr>
        <w:ind w:left="2880" w:hanging="360"/>
      </w:pPr>
      <w:rPr>
        <w:rFonts w:ascii="Symbol" w:hAnsi="Symbol" w:hint="default"/>
      </w:rPr>
    </w:lvl>
    <w:lvl w:ilvl="4" w:tplc="23F02084">
      <w:start w:val="1"/>
      <w:numFmt w:val="bullet"/>
      <w:lvlText w:val="o"/>
      <w:lvlJc w:val="left"/>
      <w:pPr>
        <w:ind w:left="3600" w:hanging="360"/>
      </w:pPr>
      <w:rPr>
        <w:rFonts w:ascii="Courier New" w:hAnsi="Courier New" w:hint="default"/>
      </w:rPr>
    </w:lvl>
    <w:lvl w:ilvl="5" w:tplc="D8FCD862">
      <w:start w:val="1"/>
      <w:numFmt w:val="bullet"/>
      <w:lvlText w:val=""/>
      <w:lvlJc w:val="left"/>
      <w:pPr>
        <w:ind w:left="4320" w:hanging="360"/>
      </w:pPr>
      <w:rPr>
        <w:rFonts w:ascii="Wingdings" w:hAnsi="Wingdings" w:hint="default"/>
      </w:rPr>
    </w:lvl>
    <w:lvl w:ilvl="6" w:tplc="D0504550">
      <w:start w:val="1"/>
      <w:numFmt w:val="bullet"/>
      <w:lvlText w:val=""/>
      <w:lvlJc w:val="left"/>
      <w:pPr>
        <w:ind w:left="5040" w:hanging="360"/>
      </w:pPr>
      <w:rPr>
        <w:rFonts w:ascii="Symbol" w:hAnsi="Symbol" w:hint="default"/>
      </w:rPr>
    </w:lvl>
    <w:lvl w:ilvl="7" w:tplc="5DCA9F08">
      <w:start w:val="1"/>
      <w:numFmt w:val="bullet"/>
      <w:lvlText w:val="o"/>
      <w:lvlJc w:val="left"/>
      <w:pPr>
        <w:ind w:left="5760" w:hanging="360"/>
      </w:pPr>
      <w:rPr>
        <w:rFonts w:ascii="Courier New" w:hAnsi="Courier New" w:hint="default"/>
      </w:rPr>
    </w:lvl>
    <w:lvl w:ilvl="8" w:tplc="9A30ADD0">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1"/>
  </w:num>
  <w:num w:numId="4">
    <w:abstractNumId w:val="5"/>
  </w:num>
  <w:num w:numId="5">
    <w:abstractNumId w:val="6"/>
  </w:num>
  <w:num w:numId="6">
    <w:abstractNumId w:val="3"/>
  </w:num>
  <w:num w:numId="7">
    <w:abstractNumId w:val="2"/>
  </w:num>
  <w:num w:numId="8">
    <w:abstractNumId w:val="8"/>
  </w:num>
  <w:num w:numId="9">
    <w:abstractNumId w:val="10"/>
  </w:num>
  <w:num w:numId="10">
    <w:abstractNumId w:val="4"/>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11"/>
    <w:rsid w:val="00120712"/>
    <w:rsid w:val="001377EF"/>
    <w:rsid w:val="001E1ECD"/>
    <w:rsid w:val="001E5FA4"/>
    <w:rsid w:val="0020040C"/>
    <w:rsid w:val="002161FE"/>
    <w:rsid w:val="003032F8"/>
    <w:rsid w:val="003154D4"/>
    <w:rsid w:val="003306B2"/>
    <w:rsid w:val="003A6E24"/>
    <w:rsid w:val="0044408C"/>
    <w:rsid w:val="004B2E5C"/>
    <w:rsid w:val="004B582F"/>
    <w:rsid w:val="004D2656"/>
    <w:rsid w:val="00524474"/>
    <w:rsid w:val="005A056D"/>
    <w:rsid w:val="00654A86"/>
    <w:rsid w:val="006E7F3D"/>
    <w:rsid w:val="007020E4"/>
    <w:rsid w:val="00726E60"/>
    <w:rsid w:val="00763832"/>
    <w:rsid w:val="00891CEB"/>
    <w:rsid w:val="009F7CDA"/>
    <w:rsid w:val="00A34022"/>
    <w:rsid w:val="00B7124B"/>
    <w:rsid w:val="00BE2556"/>
    <w:rsid w:val="00C82B17"/>
    <w:rsid w:val="00DB30A9"/>
    <w:rsid w:val="00E94ACC"/>
    <w:rsid w:val="00EC38CF"/>
    <w:rsid w:val="00EE5FF9"/>
    <w:rsid w:val="00F04D46"/>
    <w:rsid w:val="00F52971"/>
    <w:rsid w:val="00F67015"/>
    <w:rsid w:val="00F87C11"/>
    <w:rsid w:val="1E7C4867"/>
    <w:rsid w:val="234D6350"/>
    <w:rsid w:val="292C94A7"/>
    <w:rsid w:val="3F4A7013"/>
    <w:rsid w:val="655CB8F3"/>
    <w:rsid w:val="7BBF7DD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43B1234"/>
  <w15:docId w15:val="{DEDBA58C-D235-4158-B6AE-9E24EBB2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670"/>
    <w:rPr>
      <w:rFonts w:ascii="Times New Roman" w:eastAsia="Times New Roman" w:hAnsi="Times New Roman" w:cs="Times New Roman"/>
      <w:sz w:val="24"/>
      <w:szCs w:val="24"/>
    </w:rPr>
  </w:style>
  <w:style w:type="paragraph" w:styleId="Heading1">
    <w:name w:val="heading 1"/>
    <w:basedOn w:val="Normal"/>
    <w:link w:val="Heading1Char"/>
    <w:uiPriority w:val="9"/>
    <w:qFormat/>
    <w:rsid w:val="00F52971"/>
    <w:pPr>
      <w:spacing w:before="100" w:beforeAutospacing="1" w:after="100" w:afterAutospacing="1"/>
      <w:outlineLvl w:val="0"/>
    </w:pPr>
    <w:rPr>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5D5670"/>
    <w:rPr>
      <w:color w:val="0000FF"/>
      <w:u w:val="single"/>
    </w:rPr>
  </w:style>
  <w:style w:type="character" w:customStyle="1" w:styleId="BalloonTextChar">
    <w:name w:val="Balloon Text Char"/>
    <w:basedOn w:val="DefaultParagraphFont"/>
    <w:link w:val="BalloonText"/>
    <w:uiPriority w:val="99"/>
    <w:semiHidden/>
    <w:qFormat/>
    <w:rsid w:val="000D4733"/>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qFormat/>
    <w:rsid w:val="002A1FD8"/>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character" w:customStyle="1" w:styleId="ListLabel26">
    <w:name w:val="ListLabel 26"/>
    <w:qFormat/>
    <w:rPr>
      <w:sz w:val="20"/>
    </w:rPr>
  </w:style>
  <w:style w:type="character" w:customStyle="1" w:styleId="ListLabel27">
    <w:name w:val="ListLabel 27"/>
    <w:qFormat/>
    <w:rPr>
      <w:sz w:val="20"/>
    </w:rPr>
  </w:style>
  <w:style w:type="character" w:customStyle="1" w:styleId="ListLabel28">
    <w:name w:val="ListLabel 28"/>
    <w:qFormat/>
    <w:rPr>
      <w:sz w:val="20"/>
    </w:rPr>
  </w:style>
  <w:style w:type="character" w:customStyle="1" w:styleId="ListLabel29">
    <w:name w:val="ListLabel 29"/>
    <w:qFormat/>
    <w:rPr>
      <w:sz w:val="20"/>
    </w:rPr>
  </w:style>
  <w:style w:type="character" w:customStyle="1" w:styleId="ListLabel30">
    <w:name w:val="ListLabel 30"/>
    <w:qFormat/>
    <w:rPr>
      <w:sz w:val="20"/>
    </w:rPr>
  </w:style>
  <w:style w:type="character" w:customStyle="1" w:styleId="ListLabel31">
    <w:name w:val="ListLabel 31"/>
    <w:qFormat/>
    <w:rPr>
      <w:sz w:val="20"/>
    </w:rPr>
  </w:style>
  <w:style w:type="character" w:customStyle="1" w:styleId="ListLabel32">
    <w:name w:val="ListLabel 32"/>
    <w:qFormat/>
    <w:rPr>
      <w:sz w:val="20"/>
    </w:rPr>
  </w:style>
  <w:style w:type="character" w:customStyle="1" w:styleId="ListLabel33">
    <w:name w:val="ListLabel 33"/>
    <w:qFormat/>
    <w:rPr>
      <w:sz w:val="20"/>
    </w:rPr>
  </w:style>
  <w:style w:type="character" w:customStyle="1" w:styleId="ListLabel34">
    <w:name w:val="ListLabel 34"/>
    <w:qFormat/>
    <w:rPr>
      <w:sz w:val="20"/>
    </w:rPr>
  </w:style>
  <w:style w:type="character" w:customStyle="1" w:styleId="ListLabel35">
    <w:name w:val="ListLabel 35"/>
    <w:qFormat/>
    <w:rPr>
      <w:sz w:val="20"/>
    </w:rPr>
  </w:style>
  <w:style w:type="character" w:customStyle="1" w:styleId="ListLabel36">
    <w:name w:val="ListLabel 36"/>
    <w:qFormat/>
    <w:rPr>
      <w:sz w:val="20"/>
    </w:rPr>
  </w:style>
  <w:style w:type="character" w:customStyle="1" w:styleId="ListLabel37">
    <w:name w:val="ListLabel 37"/>
    <w:qFormat/>
    <w:rPr>
      <w:sz w:val="20"/>
    </w:rPr>
  </w:style>
  <w:style w:type="character" w:customStyle="1" w:styleId="ListLabel38">
    <w:name w:val="ListLabel 38"/>
    <w:qFormat/>
    <w:rPr>
      <w:sz w:val="20"/>
    </w:rPr>
  </w:style>
  <w:style w:type="character" w:customStyle="1" w:styleId="ListLabel39">
    <w:name w:val="ListLabel 39"/>
    <w:qFormat/>
    <w:rPr>
      <w:sz w:val="20"/>
    </w:rPr>
  </w:style>
  <w:style w:type="character" w:customStyle="1" w:styleId="ListLabel40">
    <w:name w:val="ListLabel 40"/>
    <w:qFormat/>
    <w:rPr>
      <w:sz w:val="20"/>
    </w:rPr>
  </w:style>
  <w:style w:type="character" w:customStyle="1" w:styleId="ListLabel41">
    <w:name w:val="ListLabel 41"/>
    <w:qFormat/>
    <w:rPr>
      <w:sz w:val="20"/>
    </w:rPr>
  </w:style>
  <w:style w:type="character" w:customStyle="1" w:styleId="ListLabel42">
    <w:name w:val="ListLabel 42"/>
    <w:qFormat/>
    <w:rPr>
      <w:sz w:val="20"/>
    </w:rPr>
  </w:style>
  <w:style w:type="character" w:customStyle="1" w:styleId="ListLabel43">
    <w:name w:val="ListLabel 43"/>
    <w:qFormat/>
    <w:rPr>
      <w:sz w:val="20"/>
    </w:rPr>
  </w:style>
  <w:style w:type="character" w:customStyle="1" w:styleId="ListLabel44">
    <w:name w:val="ListLabel 44"/>
    <w:qFormat/>
    <w:rPr>
      <w:sz w:val="20"/>
    </w:rPr>
  </w:style>
  <w:style w:type="character" w:customStyle="1" w:styleId="ListLabel45">
    <w:name w:val="ListLabel 45"/>
    <w:qFormat/>
    <w:rPr>
      <w:sz w:val="20"/>
    </w:rPr>
  </w:style>
  <w:style w:type="character" w:customStyle="1" w:styleId="ListLabel46">
    <w:name w:val="ListLabel 46"/>
    <w:qFormat/>
    <w:rPr>
      <w:sz w:val="20"/>
    </w:rPr>
  </w:style>
  <w:style w:type="character" w:customStyle="1" w:styleId="ListLabel47">
    <w:name w:val="ListLabel 47"/>
    <w:qFormat/>
    <w:rPr>
      <w:sz w:val="20"/>
    </w:rPr>
  </w:style>
  <w:style w:type="character" w:customStyle="1" w:styleId="ListLabel48">
    <w:name w:val="ListLabel 48"/>
    <w:qFormat/>
    <w:rPr>
      <w:sz w:val="20"/>
    </w:rPr>
  </w:style>
  <w:style w:type="paragraph" w:customStyle="1" w:styleId="Nadpis">
    <w:name w:val="Nadpis"/>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Rejstk">
    <w:name w:val="Rejstřík"/>
    <w:basedOn w:val="Normal"/>
    <w:qFormat/>
    <w:pPr>
      <w:suppressLineNumbers/>
    </w:pPr>
    <w:rPr>
      <w:rFonts w:cs="Mangal"/>
    </w:rPr>
  </w:style>
  <w:style w:type="paragraph" w:styleId="NoSpacing">
    <w:name w:val="No Spacing"/>
    <w:uiPriority w:val="1"/>
    <w:qFormat/>
    <w:rsid w:val="005D5670"/>
    <w:rPr>
      <w:rFonts w:cs="Times New Roman"/>
      <w:sz w:val="24"/>
    </w:rPr>
  </w:style>
  <w:style w:type="paragraph" w:customStyle="1" w:styleId="Default">
    <w:name w:val="Default"/>
    <w:qFormat/>
    <w:rsid w:val="005D5670"/>
    <w:rPr>
      <w:rFonts w:ascii="Arial" w:eastAsia="Calibri" w:hAnsi="Arial" w:cs="Arial"/>
      <w:color w:val="000000"/>
      <w:sz w:val="24"/>
      <w:szCs w:val="24"/>
    </w:rPr>
  </w:style>
  <w:style w:type="paragraph" w:styleId="BalloonText">
    <w:name w:val="Balloon Text"/>
    <w:basedOn w:val="Normal"/>
    <w:link w:val="BalloonTextChar"/>
    <w:uiPriority w:val="99"/>
    <w:semiHidden/>
    <w:unhideWhenUsed/>
    <w:qFormat/>
    <w:rsid w:val="000D4733"/>
    <w:rPr>
      <w:sz w:val="18"/>
      <w:szCs w:val="18"/>
    </w:rPr>
  </w:style>
  <w:style w:type="paragraph" w:styleId="ListParagraph">
    <w:name w:val="List Paragraph"/>
    <w:basedOn w:val="Normal"/>
    <w:uiPriority w:val="34"/>
    <w:qFormat/>
    <w:rsid w:val="00B74F9E"/>
    <w:pPr>
      <w:ind w:left="720"/>
      <w:contextualSpacing/>
    </w:pPr>
  </w:style>
  <w:style w:type="paragraph" w:styleId="NormalWeb">
    <w:name w:val="Normal (Web)"/>
    <w:basedOn w:val="Normal"/>
    <w:uiPriority w:val="99"/>
    <w:semiHidden/>
    <w:unhideWhenUsed/>
    <w:qFormat/>
    <w:rsid w:val="002A1FD8"/>
    <w:pPr>
      <w:spacing w:beforeAutospacing="1" w:afterAutospacing="1"/>
    </w:pPr>
    <w:rPr>
      <w:rFonts w:eastAsiaTheme="minorHAnsi"/>
      <w:sz w:val="20"/>
      <w:szCs w:val="20"/>
    </w:rPr>
  </w:style>
  <w:style w:type="character" w:styleId="Hyperlink">
    <w:name w:val="Hyperlink"/>
    <w:uiPriority w:val="99"/>
    <w:unhideWhenUsed/>
    <w:rsid w:val="001377EF"/>
    <w:rPr>
      <w:color w:val="0563C1"/>
      <w:u w:val="single"/>
    </w:rPr>
  </w:style>
  <w:style w:type="paragraph" w:styleId="Header">
    <w:name w:val="header"/>
    <w:basedOn w:val="Normal"/>
    <w:link w:val="HeaderChar"/>
    <w:uiPriority w:val="99"/>
    <w:unhideWhenUsed/>
    <w:rsid w:val="004B2E5C"/>
    <w:pPr>
      <w:tabs>
        <w:tab w:val="center" w:pos="4536"/>
        <w:tab w:val="right" w:pos="9072"/>
      </w:tabs>
    </w:pPr>
  </w:style>
  <w:style w:type="character" w:customStyle="1" w:styleId="HeaderChar">
    <w:name w:val="Header Char"/>
    <w:basedOn w:val="DefaultParagraphFont"/>
    <w:link w:val="Header"/>
    <w:uiPriority w:val="99"/>
    <w:rsid w:val="004B2E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2E5C"/>
    <w:pPr>
      <w:tabs>
        <w:tab w:val="center" w:pos="4536"/>
        <w:tab w:val="right" w:pos="9072"/>
      </w:tabs>
    </w:pPr>
  </w:style>
  <w:style w:type="character" w:customStyle="1" w:styleId="FooterChar">
    <w:name w:val="Footer Char"/>
    <w:basedOn w:val="DefaultParagraphFont"/>
    <w:link w:val="Footer"/>
    <w:uiPriority w:val="99"/>
    <w:rsid w:val="004B2E5C"/>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A056D"/>
    <w:rPr>
      <w:rFonts w:ascii="Nobel-Book" w:eastAsia="SimSun" w:hAnsi="Nobel-Book"/>
      <w:sz w:val="20"/>
      <w:szCs w:val="20"/>
      <w:lang w:val="en-GB" w:eastAsia="zh-CN"/>
    </w:rPr>
  </w:style>
  <w:style w:type="character" w:customStyle="1" w:styleId="FootnoteTextChar">
    <w:name w:val="Footnote Text Char"/>
    <w:basedOn w:val="DefaultParagraphFont"/>
    <w:link w:val="FootnoteText"/>
    <w:uiPriority w:val="99"/>
    <w:rsid w:val="005A056D"/>
    <w:rPr>
      <w:rFonts w:ascii="Nobel-Book" w:eastAsia="SimSun" w:hAnsi="Nobel-Book" w:cs="Times New Roman"/>
      <w:szCs w:val="20"/>
      <w:lang w:val="en-GB" w:eastAsia="zh-CN"/>
    </w:rPr>
  </w:style>
  <w:style w:type="character" w:styleId="FootnoteReference">
    <w:name w:val="footnote reference"/>
    <w:uiPriority w:val="99"/>
    <w:semiHidden/>
    <w:unhideWhenUsed/>
    <w:rsid w:val="005A056D"/>
    <w:rPr>
      <w:vertAlign w:val="superscript"/>
    </w:rPr>
  </w:style>
  <w:style w:type="character" w:customStyle="1" w:styleId="Heading1Char">
    <w:name w:val="Heading 1 Char"/>
    <w:basedOn w:val="DefaultParagraphFont"/>
    <w:link w:val="Heading1"/>
    <w:uiPriority w:val="9"/>
    <w:rsid w:val="00F52971"/>
    <w:rPr>
      <w:rFonts w:ascii="Times New Roman" w:eastAsia="Times New Roman" w:hAnsi="Times New Roman" w:cs="Times New Roman"/>
      <w:b/>
      <w:bCs/>
      <w:kern w:val="36"/>
      <w:sz w:val="48"/>
      <w:szCs w:val="48"/>
      <w:lang w:eastAsia="cs-CZ"/>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259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itka.jechova@toyota-ce.com"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Komrsková</dc:creator>
  <dc:description/>
  <cp:lastModifiedBy>Jitka Jechova (TCE)</cp:lastModifiedBy>
  <cp:revision>5</cp:revision>
  <dcterms:created xsi:type="dcterms:W3CDTF">2019-11-18T14:49:00Z</dcterms:created>
  <dcterms:modified xsi:type="dcterms:W3CDTF">2019-11-21T15:06:00Z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