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53EE" w:rsidRPr="00094F71" w:rsidRDefault="00323E37">
      <w:pPr>
        <w:pStyle w:val="TextA"/>
        <w:rPr>
          <w:rFonts w:ascii="Arial" w:hAnsi="Arial"/>
          <w:color w:val="808080"/>
          <w:sz w:val="72"/>
          <w:szCs w:val="72"/>
          <w:u w:color="808080"/>
        </w:rPr>
      </w:pPr>
      <w:bookmarkStart w:id="0" w:name="_MON_1034159373"/>
      <w:bookmarkEnd w:id="0"/>
      <w:r w:rsidRPr="00094F71">
        <w:rPr>
          <w:noProof/>
        </w:rPr>
        <w:drawing>
          <wp:inline distT="0" distB="0" distL="0" distR="0">
            <wp:extent cx="1381125" cy="22860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953EE" w:rsidRPr="00094F71" w:rsidRDefault="009953EE">
      <w:pPr>
        <w:pStyle w:val="TextA"/>
        <w:ind w:left="4248"/>
        <w:jc w:val="right"/>
        <w:rPr>
          <w:rFonts w:ascii="NobelCE Bk" w:eastAsia="NobelCE Bk" w:hAnsi="NobelCE Bk" w:cs="NobelCE Bk"/>
          <w:color w:val="808080"/>
          <w:sz w:val="72"/>
          <w:szCs w:val="72"/>
          <w:u w:color="808080"/>
        </w:rPr>
      </w:pPr>
    </w:p>
    <w:p w:rsidR="009953EE" w:rsidRPr="00094F71" w:rsidRDefault="009953EE">
      <w:pPr>
        <w:pStyle w:val="TextA"/>
        <w:ind w:left="4248"/>
        <w:jc w:val="right"/>
        <w:rPr>
          <w:rFonts w:ascii="NobelCE Bk" w:eastAsia="NobelCE Bk" w:hAnsi="NobelCE Bk" w:cs="NobelCE Bk"/>
          <w:color w:val="808080"/>
          <w:sz w:val="72"/>
          <w:szCs w:val="72"/>
          <w:u w:color="808080"/>
        </w:rPr>
      </w:pPr>
    </w:p>
    <w:p w:rsidR="009953EE" w:rsidRPr="00094F71" w:rsidRDefault="00323E37">
      <w:pPr>
        <w:pStyle w:val="TextA"/>
        <w:ind w:left="4248"/>
        <w:jc w:val="right"/>
        <w:rPr>
          <w:rFonts w:ascii="NobelCE Bk" w:eastAsia="NobelCE Bk" w:hAnsi="NobelCE Bk" w:cs="NobelCE Bk"/>
          <w:color w:val="996633"/>
          <w:sz w:val="20"/>
          <w:szCs w:val="20"/>
          <w:u w:color="996633"/>
        </w:rPr>
      </w:pPr>
      <w:r w:rsidRPr="00094F71">
        <w:rPr>
          <w:rFonts w:ascii="NobelCE Bk" w:eastAsia="NobelCE Bk" w:hAnsi="NobelCE Bk" w:cs="NobelCE Bk"/>
          <w:color w:val="808080"/>
          <w:sz w:val="72"/>
          <w:szCs w:val="72"/>
          <w:u w:color="808080"/>
        </w:rPr>
        <w:t xml:space="preserve">MEDIA INFO </w:t>
      </w:r>
    </w:p>
    <w:p w:rsidR="009953EE" w:rsidRPr="00094F71" w:rsidRDefault="009953EE">
      <w:pPr>
        <w:pStyle w:val="TextA"/>
        <w:rPr>
          <w:rFonts w:ascii="Arial" w:eastAsia="Arial" w:hAnsi="Arial" w:cs="Arial"/>
          <w:color w:val="808080"/>
          <w:sz w:val="20"/>
          <w:szCs w:val="20"/>
          <w:u w:color="808080"/>
        </w:rPr>
      </w:pPr>
    </w:p>
    <w:p w:rsidR="00F32A53" w:rsidRDefault="00F32A53">
      <w:pPr>
        <w:pStyle w:val="TextA"/>
        <w:jc w:val="right"/>
        <w:rPr>
          <w:rFonts w:ascii="NobelCE Lt" w:eastAsia="NobelCE Lt" w:hAnsi="NobelCE Lt" w:cs="NobelCE Lt"/>
        </w:rPr>
      </w:pPr>
    </w:p>
    <w:p w:rsidR="009953EE" w:rsidRPr="00094F71" w:rsidRDefault="00323E37">
      <w:pPr>
        <w:pStyle w:val="TextA"/>
        <w:jc w:val="right"/>
        <w:rPr>
          <w:rFonts w:ascii="NobelCE Lt" w:eastAsia="NobelCE Lt" w:hAnsi="NobelCE Lt" w:cs="NobelCE Lt"/>
        </w:rPr>
      </w:pPr>
      <w:r w:rsidRPr="00094F71">
        <w:rPr>
          <w:rFonts w:ascii="NobelCE Lt" w:eastAsia="NobelCE Lt" w:hAnsi="NobelCE Lt" w:cs="NobelCE Lt"/>
        </w:rPr>
        <w:t>2. července 2018</w:t>
      </w:r>
    </w:p>
    <w:p w:rsidR="009953EE" w:rsidRPr="00094F71" w:rsidRDefault="009953EE">
      <w:pPr>
        <w:pStyle w:val="NoSpacing"/>
        <w:rPr>
          <w:rFonts w:ascii="NobelCE Bk" w:eastAsia="NobelCE Bk" w:hAnsi="NobelCE Bk" w:cs="NobelCE Bk"/>
          <w:b/>
          <w:bCs/>
          <w:sz w:val="28"/>
          <w:szCs w:val="28"/>
        </w:rPr>
      </w:pPr>
    </w:p>
    <w:p w:rsidR="009953EE" w:rsidRPr="00094F71" w:rsidRDefault="00323E37">
      <w:pPr>
        <w:pStyle w:val="TextA"/>
        <w:ind w:right="39"/>
        <w:rPr>
          <w:sz w:val="36"/>
          <w:szCs w:val="36"/>
        </w:rPr>
      </w:pPr>
      <w:r w:rsidRPr="00094F71">
        <w:rPr>
          <w:rFonts w:ascii="NobelCE Bk" w:eastAsia="NobelCE Bk" w:hAnsi="NobelCE Bk" w:cs="NobelCE Bk"/>
          <w:b/>
          <w:bCs/>
          <w:sz w:val="52"/>
          <w:szCs w:val="52"/>
        </w:rPr>
        <w:t xml:space="preserve">LEXUS OTEVŘEL V LISABONU </w:t>
      </w:r>
      <w:r w:rsidR="00970E6D">
        <w:rPr>
          <w:rFonts w:ascii="NobelCE Bk" w:eastAsia="NobelCE Bk" w:hAnsi="NobelCE Bk" w:cs="NobelCE Bk"/>
          <w:b/>
          <w:bCs/>
          <w:sz w:val="52"/>
          <w:szCs w:val="52"/>
        </w:rPr>
        <w:br/>
      </w:r>
      <w:r w:rsidR="00094F71">
        <w:rPr>
          <w:rFonts w:ascii="NobelCE Bk" w:eastAsia="NobelCE Bk" w:hAnsi="NobelCE Bk" w:cs="NobelCE Bk"/>
          <w:b/>
          <w:bCs/>
          <w:sz w:val="52"/>
          <w:szCs w:val="52"/>
        </w:rPr>
        <w:t xml:space="preserve">UMĚLECKOU </w:t>
      </w:r>
      <w:r w:rsidRPr="00094F71">
        <w:rPr>
          <w:rFonts w:ascii="NobelCE Bk" w:eastAsia="NobelCE Bk" w:hAnsi="NobelCE Bk" w:cs="NobelCE Bk"/>
          <w:b/>
          <w:bCs/>
          <w:sz w:val="52"/>
          <w:szCs w:val="52"/>
        </w:rPr>
        <w:t xml:space="preserve">POP-UP GALERII  </w:t>
      </w:r>
    </w:p>
    <w:p w:rsidR="009953EE" w:rsidRPr="00094F71" w:rsidRDefault="009953EE">
      <w:pPr>
        <w:pStyle w:val="TextA"/>
        <w:rPr>
          <w:rFonts w:ascii="NobelCE Bk" w:eastAsia="NobelCE Bk" w:hAnsi="NobelCE Bk" w:cs="NobelCE Bk"/>
          <w:b/>
          <w:bCs/>
          <w:sz w:val="28"/>
          <w:szCs w:val="28"/>
        </w:rPr>
      </w:pPr>
    </w:p>
    <w:p w:rsidR="009953EE" w:rsidRPr="00094F71" w:rsidRDefault="00323E37">
      <w:pPr>
        <w:pStyle w:val="TextA"/>
        <w:rPr>
          <w:rFonts w:ascii="NobelCE Lt" w:eastAsia="NobelCE Lt" w:hAnsi="NobelCE Lt" w:cs="NobelCE Lt"/>
          <w:sz w:val="28"/>
          <w:szCs w:val="28"/>
        </w:rPr>
      </w:pPr>
      <w:r w:rsidRPr="00094F71">
        <w:rPr>
          <w:rFonts w:ascii="NobelCE Lt" w:eastAsia="NobelCE Lt" w:hAnsi="NobelCE Lt" w:cs="NobelCE Lt"/>
          <w:sz w:val="28"/>
          <w:szCs w:val="28"/>
        </w:rPr>
        <w:t xml:space="preserve">• Pop-up galerie s názvem </w:t>
      </w:r>
      <w:r w:rsidR="00A03C7B">
        <w:rPr>
          <w:rFonts w:ascii="NobelCE Lt" w:eastAsia="NobelCE Lt" w:hAnsi="NobelCE Lt" w:cs="NobelCE Lt"/>
          <w:sz w:val="28"/>
          <w:szCs w:val="28"/>
        </w:rPr>
        <w:t>‚</w:t>
      </w:r>
      <w:r w:rsidRPr="00094F71">
        <w:rPr>
          <w:rFonts w:ascii="NobelCE Lt" w:eastAsia="NobelCE Lt" w:hAnsi="NobelCE Lt" w:cs="NobelCE Lt"/>
          <w:sz w:val="28"/>
          <w:szCs w:val="28"/>
        </w:rPr>
        <w:t>UX Art Space by Lexus</w:t>
      </w:r>
      <w:r w:rsidR="00A03C7B">
        <w:rPr>
          <w:rFonts w:ascii="NobelCE Lt" w:eastAsia="NobelCE Lt" w:hAnsi="NobelCE Lt" w:cs="NobelCE Lt"/>
          <w:sz w:val="28"/>
          <w:szCs w:val="28"/>
        </w:rPr>
        <w:t>‘</w:t>
      </w:r>
      <w:r w:rsidRPr="00094F71">
        <w:rPr>
          <w:rFonts w:ascii="NobelCE Lt" w:eastAsia="NobelCE Lt" w:hAnsi="NobelCE Lt" w:cs="NobelCE Lt"/>
          <w:sz w:val="28"/>
          <w:szCs w:val="28"/>
        </w:rPr>
        <w:t xml:space="preserve"> vznikla na oslavu nového crossoveru Lexus UX</w:t>
      </w:r>
    </w:p>
    <w:p w:rsidR="009953EE" w:rsidRPr="00094F71" w:rsidRDefault="00323E37">
      <w:pPr>
        <w:pStyle w:val="TextA"/>
        <w:rPr>
          <w:rFonts w:ascii="NobelCE Lt" w:eastAsia="NobelCE Lt" w:hAnsi="NobelCE Lt" w:cs="NobelCE Lt"/>
          <w:sz w:val="28"/>
          <w:szCs w:val="28"/>
        </w:rPr>
      </w:pPr>
      <w:r w:rsidRPr="00094F71">
        <w:rPr>
          <w:rFonts w:ascii="NobelCE Lt" w:eastAsia="NobelCE Lt" w:hAnsi="NobelCE Lt" w:cs="NobelCE Lt"/>
          <w:sz w:val="28"/>
          <w:szCs w:val="28"/>
        </w:rPr>
        <w:t>• Galerie je jeho originální předpremiérou - návštěvníci tu mohou vidět dekonstrukci a vlastní interpretaci modelu UX od mladých výtvarníků</w:t>
      </w:r>
    </w:p>
    <w:p w:rsidR="009953EE" w:rsidRPr="00094F71" w:rsidRDefault="00323E37">
      <w:pPr>
        <w:pStyle w:val="TextA"/>
        <w:rPr>
          <w:rFonts w:ascii="NobelCE Lt" w:eastAsia="NobelCE Lt" w:hAnsi="NobelCE Lt" w:cs="NobelCE Lt"/>
          <w:sz w:val="28"/>
          <w:szCs w:val="28"/>
        </w:rPr>
      </w:pPr>
      <w:r w:rsidRPr="00094F71">
        <w:rPr>
          <w:rFonts w:ascii="NobelCE Lt" w:eastAsia="NobelCE Lt" w:hAnsi="NobelCE Lt" w:cs="NobelCE Lt"/>
          <w:sz w:val="28"/>
          <w:szCs w:val="28"/>
        </w:rPr>
        <w:t>• Součástí výstavy bude i prototyp</w:t>
      </w:r>
      <w:r w:rsidR="00A03C7B">
        <w:rPr>
          <w:rFonts w:ascii="NobelCE Lt" w:eastAsia="NobelCE Lt" w:hAnsi="NobelCE Lt" w:cs="NobelCE Lt"/>
          <w:sz w:val="28"/>
          <w:szCs w:val="28"/>
        </w:rPr>
        <w:t xml:space="preserve"> modelu</w:t>
      </w:r>
      <w:r w:rsidRPr="00094F71">
        <w:rPr>
          <w:rFonts w:ascii="NobelCE Lt" w:eastAsia="NobelCE Lt" w:hAnsi="NobelCE Lt" w:cs="NobelCE Lt"/>
          <w:sz w:val="28"/>
          <w:szCs w:val="28"/>
        </w:rPr>
        <w:t xml:space="preserve"> Lexus UX </w:t>
      </w:r>
    </w:p>
    <w:p w:rsidR="009953EE" w:rsidRPr="00094F71" w:rsidRDefault="009953EE">
      <w:pPr>
        <w:pStyle w:val="TextA"/>
        <w:rPr>
          <w:rFonts w:ascii="NobelCE Lt" w:eastAsia="NobelCE Lt" w:hAnsi="NobelCE Lt" w:cs="NobelCE Lt"/>
          <w:sz w:val="28"/>
          <w:szCs w:val="28"/>
        </w:rPr>
      </w:pPr>
    </w:p>
    <w:p w:rsidR="009953EE" w:rsidRPr="00F32A53" w:rsidRDefault="00323E3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59" w:lineRule="auto"/>
        <w:jc w:val="both"/>
        <w:rPr>
          <w:rFonts w:ascii="NobelCE Lt" w:eastAsia="Times" w:hAnsi="NobelCE Lt" w:cs="Times"/>
          <w:b/>
          <w:bCs/>
          <w:sz w:val="24"/>
          <w:szCs w:val="24"/>
          <w:lang w:val="cs-CZ"/>
        </w:rPr>
      </w:pPr>
      <w:r w:rsidRPr="00F32A53">
        <w:rPr>
          <w:rFonts w:ascii="NobelCE Lt" w:hAnsi="NobelCE Lt"/>
          <w:b/>
          <w:bCs/>
          <w:sz w:val="24"/>
          <w:szCs w:val="24"/>
          <w:lang w:val="cs-CZ"/>
        </w:rPr>
        <w:t>Lexus opět dokazuje, že není jen běžnou automobilkou uzavřenou ve vlastním světě, ale posouvá své aktivity směrem k luxusnímu životnímu stylu. Předpremiéra crossoveru Lexus UX si proto vysloužila velmi originální formu - značka otevřela v Lisabonu svoji pop-up galerii UX Art Space.</w:t>
      </w:r>
    </w:p>
    <w:p w:rsidR="009953EE" w:rsidRPr="00F32A53" w:rsidRDefault="00094F71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ind w:right="39"/>
        <w:jc w:val="both"/>
        <w:rPr>
          <w:rFonts w:ascii="NobelCE Lt" w:eastAsia="Nobel-Book" w:hAnsi="NobelCE Lt" w:cs="Nobel-Book"/>
          <w:sz w:val="24"/>
          <w:szCs w:val="24"/>
          <w:lang w:val="cs-CZ"/>
        </w:rPr>
      </w:pPr>
      <w:r w:rsidRPr="00F32A53">
        <w:rPr>
          <w:rFonts w:ascii="NobelCE Lt" w:eastAsia="Nobel-Book" w:hAnsi="NobelCE Lt" w:cs="Nobel-Book"/>
          <w:sz w:val="24"/>
          <w:szCs w:val="24"/>
          <w:lang w:val="cs-CZ"/>
        </w:rPr>
        <w:t>Bude zde</w:t>
      </w:r>
      <w:r w:rsidR="00323E37" w:rsidRPr="00F32A53">
        <w:rPr>
          <w:rFonts w:ascii="NobelCE Lt" w:eastAsia="Nobel-Book" w:hAnsi="NobelCE Lt" w:cs="Nobel-Book"/>
          <w:sz w:val="24"/>
          <w:szCs w:val="24"/>
          <w:lang w:val="cs-CZ"/>
        </w:rPr>
        <w:t xml:space="preserve"> k vidění prototyp nového crossoveru Lexus UX, ale představí se také výjimečná umělecká díla od mladých výtvarníků, jako je Inês Zenh nebo Bence Magyarlaki, které Lexus pověřil úkolem provést dekonstrukci </w:t>
      </w:r>
      <w:r w:rsidR="00A03C7B">
        <w:rPr>
          <w:rFonts w:ascii="NobelCE Lt" w:eastAsia="Nobel-Book" w:hAnsi="NobelCE Lt" w:cs="Nobel-Book"/>
          <w:sz w:val="24"/>
          <w:szCs w:val="24"/>
          <w:lang w:val="cs-CZ"/>
        </w:rPr>
        <w:t>nového modelu</w:t>
      </w:r>
      <w:r w:rsidR="00323E37" w:rsidRPr="00F32A53">
        <w:rPr>
          <w:rFonts w:ascii="NobelCE Lt" w:eastAsia="Nobel-Book" w:hAnsi="NobelCE Lt" w:cs="Nobel-Book"/>
          <w:sz w:val="24"/>
          <w:szCs w:val="24"/>
          <w:lang w:val="cs-CZ"/>
        </w:rPr>
        <w:t xml:space="preserve"> UX a vytvořit </w:t>
      </w:r>
      <w:r w:rsidR="00A03C7B">
        <w:rPr>
          <w:rFonts w:ascii="NobelCE Lt" w:eastAsia="Nobel-Book" w:hAnsi="NobelCE Lt" w:cs="Nobel-Book"/>
          <w:sz w:val="24"/>
          <w:szCs w:val="24"/>
          <w:lang w:val="cs-CZ"/>
        </w:rPr>
        <w:t>jeho vlastní interpretaci</w:t>
      </w:r>
      <w:r w:rsidR="00323E37" w:rsidRPr="00F32A53">
        <w:rPr>
          <w:rFonts w:ascii="NobelCE Lt" w:eastAsia="Nobel-Book" w:hAnsi="NobelCE Lt" w:cs="Nobel-Book"/>
          <w:sz w:val="24"/>
          <w:szCs w:val="24"/>
          <w:lang w:val="cs-CZ"/>
        </w:rPr>
        <w:t xml:space="preserve">. </w:t>
      </w:r>
    </w:p>
    <w:p w:rsidR="009953EE" w:rsidRPr="00F32A53" w:rsidRDefault="00323E3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ind w:right="39"/>
        <w:jc w:val="both"/>
        <w:rPr>
          <w:rFonts w:ascii="NobelCE Lt" w:eastAsia="Nobel-Book" w:hAnsi="NobelCE Lt" w:cs="Nobel-Book"/>
          <w:sz w:val="24"/>
          <w:szCs w:val="24"/>
          <w:lang w:val="cs-CZ"/>
        </w:rPr>
      </w:pPr>
      <w:r w:rsidRPr="00F32A53">
        <w:rPr>
          <w:rFonts w:ascii="NobelCE Lt" w:eastAsia="Nobel-Book" w:hAnsi="NobelCE Lt" w:cs="Nobel-Book"/>
          <w:sz w:val="24"/>
          <w:szCs w:val="24"/>
          <w:lang w:val="cs-CZ"/>
        </w:rPr>
        <w:t>Funkcí výkonného producenta galerie UX Art Space byl pověřen Natxo Checa, zakladatel, ředitel, kurátor a producent galerie Zé dos Bois Gallery (ZDB). Sekunduje</w:t>
      </w:r>
      <w:r w:rsidR="00A03C7B">
        <w:rPr>
          <w:rFonts w:ascii="NobelCE Lt" w:eastAsia="Nobel-Book" w:hAnsi="NobelCE Lt" w:cs="Nobel-Book"/>
          <w:sz w:val="24"/>
          <w:szCs w:val="24"/>
          <w:lang w:val="cs-CZ"/>
        </w:rPr>
        <w:t xml:space="preserve"> mu</w:t>
      </w:r>
      <w:r w:rsidRPr="00F32A53">
        <w:rPr>
          <w:rFonts w:ascii="NobelCE Lt" w:eastAsia="Nobel-Book" w:hAnsi="NobelCE Lt" w:cs="Nobel-Book"/>
          <w:sz w:val="24"/>
          <w:szCs w:val="24"/>
          <w:lang w:val="cs-CZ"/>
        </w:rPr>
        <w:t xml:space="preserve"> Carolina Grau, nezávislá kurátorka a specialistka na moderní umění, disponující rozsáhlými zkušenostmi v oblasti pořádání mezinárodních akcí a výstav. </w:t>
      </w:r>
    </w:p>
    <w:p w:rsidR="009953EE" w:rsidRPr="00F32A53" w:rsidRDefault="00323E3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59" w:lineRule="auto"/>
        <w:ind w:right="39"/>
        <w:jc w:val="both"/>
        <w:rPr>
          <w:rFonts w:ascii="NobelCE Lt" w:eastAsia="Nobel-Book" w:hAnsi="NobelCE Lt" w:cs="Nobel-Book"/>
          <w:i/>
          <w:iCs/>
          <w:sz w:val="24"/>
          <w:szCs w:val="24"/>
          <w:lang w:val="cs-CZ"/>
        </w:rPr>
      </w:pPr>
      <w:r w:rsidRPr="00F32A53">
        <w:rPr>
          <w:rFonts w:ascii="NobelCE Lt" w:eastAsia="Nobel-Book" w:hAnsi="NobelCE Lt" w:cs="Nobel-Book"/>
          <w:sz w:val="24"/>
          <w:szCs w:val="24"/>
          <w:lang w:val="cs-CZ"/>
        </w:rPr>
        <w:t>“</w:t>
      </w:r>
      <w:r w:rsidRPr="00F32A53">
        <w:rPr>
          <w:rFonts w:ascii="NobelCE Lt" w:eastAsia="Nobel-Book" w:hAnsi="NobelCE Lt" w:cs="Nobel-Book"/>
          <w:i/>
          <w:iCs/>
          <w:sz w:val="24"/>
          <w:szCs w:val="24"/>
          <w:lang w:val="cs-CZ"/>
        </w:rPr>
        <w:t xml:space="preserve">Lisabon, z nějž se postupně stává centrum kreativity a kultury, je dokonalým místem k představení našeho nového crossoveru UX v pokrokovém a uměleckém prostředí,” </w:t>
      </w:r>
      <w:r w:rsidRPr="00F32A53">
        <w:rPr>
          <w:rFonts w:ascii="NobelCE Lt" w:eastAsia="Nobel-Book" w:hAnsi="NobelCE Lt" w:cs="Nobel-Book"/>
          <w:sz w:val="24"/>
          <w:szCs w:val="24"/>
          <w:lang w:val="cs-CZ"/>
        </w:rPr>
        <w:t>říká Pascal Ruch, šéf Lexus Europe.</w:t>
      </w:r>
      <w:r w:rsidRPr="00F32A53">
        <w:rPr>
          <w:rFonts w:ascii="NobelCE Lt" w:eastAsia="Nobel-Book" w:hAnsi="NobelCE Lt" w:cs="Nobel-Book"/>
          <w:i/>
          <w:iCs/>
          <w:sz w:val="24"/>
          <w:szCs w:val="24"/>
          <w:lang w:val="cs-CZ"/>
        </w:rPr>
        <w:t xml:space="preserve"> “Galerie UX Art Space by Lexus umožňuje návštěvníkům splynout se světem </w:t>
      </w:r>
      <w:r w:rsidR="00A03C7B">
        <w:rPr>
          <w:rFonts w:ascii="NobelCE Lt" w:eastAsia="Nobel-Book" w:hAnsi="NobelCE Lt" w:cs="Nobel-Book"/>
          <w:i/>
          <w:iCs/>
          <w:sz w:val="24"/>
          <w:szCs w:val="24"/>
          <w:lang w:val="cs-CZ"/>
        </w:rPr>
        <w:t xml:space="preserve">značky </w:t>
      </w:r>
      <w:r w:rsidRPr="00F32A53">
        <w:rPr>
          <w:rFonts w:ascii="NobelCE Lt" w:eastAsia="Nobel-Book" w:hAnsi="NobelCE Lt" w:cs="Nobel-Book"/>
          <w:i/>
          <w:iCs/>
          <w:sz w:val="24"/>
          <w:szCs w:val="24"/>
          <w:lang w:val="cs-CZ"/>
        </w:rPr>
        <w:t xml:space="preserve">Lexus a sdílet s námi vášeň pro kreativní design a pokrokové technologie.” </w:t>
      </w:r>
    </w:p>
    <w:p w:rsidR="009953EE" w:rsidRPr="00F32A53" w:rsidRDefault="00323E37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276" w:lineRule="auto"/>
        <w:jc w:val="both"/>
        <w:rPr>
          <w:rFonts w:ascii="NobelCE Lt" w:eastAsia="Nobel-Book" w:hAnsi="NobelCE Lt" w:cs="Nobel-Book"/>
          <w:sz w:val="24"/>
          <w:szCs w:val="24"/>
          <w:lang w:val="cs-CZ"/>
        </w:rPr>
      </w:pPr>
      <w:r w:rsidRPr="00F32A53">
        <w:rPr>
          <w:rFonts w:ascii="NobelCE Lt" w:eastAsia="Nobel-Book" w:hAnsi="NobelCE Lt" w:cs="Nobel-Book"/>
          <w:i/>
          <w:iCs/>
          <w:sz w:val="24"/>
          <w:szCs w:val="24"/>
          <w:lang w:val="cs-CZ"/>
        </w:rPr>
        <w:t xml:space="preserve">“Galerie UX Art Space by Lexus harmonicky propojuje vozidlo s uměleckým dílem,” </w:t>
      </w:r>
      <w:r w:rsidRPr="00F32A53">
        <w:rPr>
          <w:rFonts w:ascii="NobelCE Lt" w:eastAsia="Nobel-Book" w:hAnsi="NobelCE Lt" w:cs="Nobel-Book"/>
          <w:sz w:val="24"/>
          <w:szCs w:val="24"/>
          <w:lang w:val="cs-CZ"/>
        </w:rPr>
        <w:t>popisuje Carolina Grau.</w:t>
      </w:r>
      <w:r w:rsidRPr="00F32A53">
        <w:rPr>
          <w:rFonts w:ascii="NobelCE Lt" w:eastAsia="Nobel-Book" w:hAnsi="NobelCE Lt" w:cs="Nobel-Book"/>
          <w:i/>
          <w:iCs/>
          <w:sz w:val="24"/>
          <w:szCs w:val="24"/>
          <w:lang w:val="cs-CZ"/>
        </w:rPr>
        <w:t xml:space="preserve"> “Tato výstava dokáže návštěvníky pohltit a zapojit jejich emoce prostřednictvím umělecké interpretace pohybů, zvuků, tvarů a barevné palety přesně v duchu značky Lexus,” </w:t>
      </w:r>
      <w:r w:rsidRPr="00F32A53">
        <w:rPr>
          <w:rFonts w:ascii="NobelCE Lt" w:eastAsia="Nobel-Book" w:hAnsi="NobelCE Lt" w:cs="Nobel-Book"/>
          <w:sz w:val="24"/>
          <w:szCs w:val="24"/>
          <w:lang w:val="cs-CZ"/>
        </w:rPr>
        <w:t>dodává.</w:t>
      </w:r>
    </w:p>
    <w:p w:rsidR="009953EE" w:rsidRPr="00F32A53" w:rsidRDefault="009953EE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jc w:val="both"/>
        <w:rPr>
          <w:rFonts w:ascii="NobelCE Lt" w:eastAsia="Times" w:hAnsi="NobelCE Lt" w:cs="Times"/>
          <w:sz w:val="24"/>
          <w:szCs w:val="24"/>
          <w:lang w:val="cs-CZ"/>
        </w:rPr>
      </w:pPr>
    </w:p>
    <w:p w:rsidR="009953EE" w:rsidRPr="00F32A53" w:rsidRDefault="00F32A53">
      <w:pPr>
        <w:pStyle w:val="TextA"/>
        <w:jc w:val="both"/>
        <w:rPr>
          <w:rFonts w:ascii="NobelCE Lt" w:eastAsia="NobelCE Lt" w:hAnsi="NobelCE Lt" w:cs="NobelCE Lt"/>
          <w:b/>
          <w:bCs/>
        </w:rPr>
      </w:pPr>
      <w:r>
        <w:rPr>
          <w:rFonts w:ascii="NobelCE Lt" w:eastAsia="NobelCE Lt" w:hAnsi="NobelCE Lt" w:cs="NobelCE Lt"/>
        </w:rPr>
        <w:lastRenderedPageBreak/>
        <w:br/>
      </w:r>
      <w:r w:rsidR="00323E37" w:rsidRPr="00F32A53">
        <w:rPr>
          <w:rFonts w:ascii="NobelCE Lt" w:eastAsia="NobelCE Lt" w:hAnsi="NobelCE Lt" w:cs="NobelCE Lt"/>
        </w:rPr>
        <w:t>Více informací:</w:t>
      </w:r>
    </w:p>
    <w:p w:rsidR="009953EE" w:rsidRPr="00F32A53" w:rsidRDefault="009953EE">
      <w:pPr>
        <w:pStyle w:val="Default"/>
        <w:rPr>
          <w:rFonts w:ascii="NobelCE Lt" w:eastAsia="NobelCE Lt" w:hAnsi="NobelCE Lt" w:cs="NobelCE Lt"/>
          <w:b/>
          <w:bCs/>
        </w:rPr>
      </w:pPr>
    </w:p>
    <w:p w:rsidR="009953EE" w:rsidRPr="00F32A53" w:rsidRDefault="00323E37">
      <w:pPr>
        <w:pStyle w:val="TextA"/>
        <w:rPr>
          <w:rFonts w:ascii="NobelCE Lt" w:eastAsia="NobelCE Lt" w:hAnsi="NobelCE Lt" w:cs="NobelCE Lt"/>
        </w:rPr>
      </w:pPr>
      <w:r w:rsidRPr="00F32A53">
        <w:rPr>
          <w:rFonts w:ascii="NobelCE Lt" w:eastAsia="NobelCE Lt" w:hAnsi="NobelCE Lt" w:cs="NobelCE Lt"/>
          <w:b/>
          <w:bCs/>
        </w:rPr>
        <w:t xml:space="preserve">Jitka </w:t>
      </w:r>
      <w:r w:rsidR="00A03C7B">
        <w:rPr>
          <w:rFonts w:ascii="NobelCE Lt" w:eastAsia="NobelCE Lt" w:hAnsi="NobelCE Lt" w:cs="NobelCE Lt"/>
          <w:b/>
          <w:bCs/>
        </w:rPr>
        <w:t>Jechová</w:t>
      </w:r>
    </w:p>
    <w:p w:rsidR="009953EE" w:rsidRPr="00F32A53" w:rsidRDefault="00323E37">
      <w:pPr>
        <w:pStyle w:val="TextA"/>
        <w:rPr>
          <w:rFonts w:ascii="NobelCE Lt" w:eastAsia="NobelCE Lt" w:hAnsi="NobelCE Lt" w:cs="NobelCE Lt"/>
          <w:b/>
          <w:bCs/>
        </w:rPr>
      </w:pPr>
      <w:r w:rsidRPr="00F32A53">
        <w:rPr>
          <w:rFonts w:ascii="NobelCE Lt" w:eastAsia="NobelCE Lt" w:hAnsi="NobelCE Lt" w:cs="NobelCE Lt"/>
        </w:rPr>
        <w:t xml:space="preserve">PR Manager </w:t>
      </w:r>
    </w:p>
    <w:p w:rsidR="009953EE" w:rsidRPr="00F32A53" w:rsidRDefault="009953EE">
      <w:pPr>
        <w:pStyle w:val="TextA"/>
        <w:rPr>
          <w:rFonts w:ascii="NobelCE Lt" w:eastAsia="NobelCE Lt" w:hAnsi="NobelCE Lt" w:cs="NobelCE Lt"/>
          <w:b/>
          <w:bCs/>
        </w:rPr>
      </w:pPr>
    </w:p>
    <w:p w:rsidR="009953EE" w:rsidRPr="00F32A53" w:rsidRDefault="00323E37">
      <w:pPr>
        <w:pStyle w:val="TextA"/>
        <w:rPr>
          <w:rFonts w:ascii="NobelCE Lt" w:eastAsia="NobelCE Lt" w:hAnsi="NobelCE Lt" w:cs="NobelCE Lt"/>
          <w:b/>
          <w:bCs/>
        </w:rPr>
      </w:pPr>
      <w:r w:rsidRPr="00F32A53">
        <w:rPr>
          <w:rFonts w:ascii="NobelCE Lt" w:eastAsia="NobelCE Lt" w:hAnsi="NobelCE Lt" w:cs="NobelCE Lt"/>
          <w:b/>
          <w:bCs/>
        </w:rPr>
        <w:t>Toyota Central Europe – Czech s.r.o.</w:t>
      </w:r>
    </w:p>
    <w:p w:rsidR="009953EE" w:rsidRPr="00F32A53" w:rsidRDefault="00323E37">
      <w:pPr>
        <w:pStyle w:val="TextA"/>
        <w:rPr>
          <w:rFonts w:ascii="NobelCE Lt" w:eastAsia="NobelCE Lt" w:hAnsi="NobelCE Lt" w:cs="NobelCE Lt"/>
        </w:rPr>
      </w:pPr>
      <w:r w:rsidRPr="00F32A53">
        <w:rPr>
          <w:rFonts w:ascii="NobelCE Lt" w:eastAsia="NobelCE Lt" w:hAnsi="NobelCE Lt" w:cs="NobelCE Lt"/>
        </w:rPr>
        <w:t>Bavorská 2662/1</w:t>
      </w:r>
    </w:p>
    <w:p w:rsidR="009953EE" w:rsidRPr="00F32A53" w:rsidRDefault="00323E37">
      <w:pPr>
        <w:pStyle w:val="TextA"/>
        <w:rPr>
          <w:rFonts w:ascii="NobelCE Lt" w:eastAsia="NobelCE Lt" w:hAnsi="NobelCE Lt" w:cs="NobelCE Lt"/>
        </w:rPr>
      </w:pPr>
      <w:r w:rsidRPr="00F32A53">
        <w:rPr>
          <w:rFonts w:ascii="NobelCE Lt" w:eastAsia="NobelCE Lt" w:hAnsi="NobelCE Lt" w:cs="NobelCE Lt"/>
        </w:rPr>
        <w:t>155 00  Praha 5</w:t>
      </w:r>
    </w:p>
    <w:p w:rsidR="009953EE" w:rsidRPr="00F32A53" w:rsidRDefault="00323E37">
      <w:pPr>
        <w:pStyle w:val="TextA"/>
        <w:rPr>
          <w:rFonts w:ascii="NobelCE Lt" w:eastAsia="NobelCE Lt" w:hAnsi="NobelCE Lt" w:cs="NobelCE Lt"/>
        </w:rPr>
      </w:pPr>
      <w:r w:rsidRPr="00F32A53">
        <w:rPr>
          <w:rFonts w:ascii="NobelCE Lt" w:eastAsia="NobelCE Lt" w:hAnsi="NobelCE Lt" w:cs="NobelCE Lt"/>
        </w:rPr>
        <w:t>Czech Republic</w:t>
      </w:r>
    </w:p>
    <w:p w:rsidR="009953EE" w:rsidRPr="00F32A53" w:rsidRDefault="009953EE">
      <w:pPr>
        <w:pStyle w:val="TextA"/>
        <w:rPr>
          <w:rFonts w:ascii="NobelCE Lt" w:eastAsia="NobelCE Lt" w:hAnsi="NobelCE Lt" w:cs="NobelCE Lt"/>
        </w:rPr>
      </w:pPr>
    </w:p>
    <w:p w:rsidR="009953EE" w:rsidRPr="00F32A53" w:rsidRDefault="00323E37">
      <w:pPr>
        <w:pStyle w:val="TextA"/>
        <w:rPr>
          <w:rFonts w:ascii="NobelCE Lt" w:eastAsia="NobelCE Lt" w:hAnsi="NobelCE Lt" w:cs="NobelCE Lt"/>
        </w:rPr>
      </w:pPr>
      <w:r w:rsidRPr="00F32A53">
        <w:rPr>
          <w:rFonts w:ascii="NobelCE Lt" w:eastAsia="NobelCE Lt" w:hAnsi="NobelCE Lt" w:cs="NobelCE Lt"/>
        </w:rPr>
        <w:t>Phone: +420 222 992 209</w:t>
      </w:r>
    </w:p>
    <w:p w:rsidR="009953EE" w:rsidRPr="00F32A53" w:rsidRDefault="00323E37">
      <w:pPr>
        <w:pStyle w:val="TextA"/>
        <w:rPr>
          <w:rFonts w:ascii="NobelCE Lt" w:eastAsia="NobelCE Lt" w:hAnsi="NobelCE Lt" w:cs="NobelCE Lt"/>
        </w:rPr>
      </w:pPr>
      <w:r w:rsidRPr="00F32A53">
        <w:rPr>
          <w:rFonts w:ascii="NobelCE Lt" w:eastAsia="NobelCE Lt" w:hAnsi="NobelCE Lt" w:cs="NobelCE Lt"/>
        </w:rPr>
        <w:t>Mobile: +420 731 626 250</w:t>
      </w:r>
    </w:p>
    <w:bookmarkStart w:id="1" w:name="_GoBack"/>
    <w:bookmarkEnd w:id="1"/>
    <w:p w:rsidR="009953EE" w:rsidRPr="00F32A53" w:rsidRDefault="00A03C7B">
      <w:pPr>
        <w:pStyle w:val="TextA"/>
        <w:rPr>
          <w:rFonts w:ascii="NobelCE Lt" w:hAnsi="NobelCE Lt"/>
        </w:rPr>
      </w:pPr>
      <w:r>
        <w:rPr>
          <w:rStyle w:val="Hyperlink0"/>
          <w:lang w:val="cs-CZ"/>
        </w:rPr>
        <w:fldChar w:fldCharType="begin"/>
      </w:r>
      <w:r>
        <w:rPr>
          <w:rStyle w:val="Hyperlink0"/>
          <w:lang w:val="cs-CZ"/>
        </w:rPr>
        <w:instrText xml:space="preserve"> HYPERLINK "mailto:</w:instrText>
      </w:r>
      <w:r w:rsidRPr="00F32A53">
        <w:rPr>
          <w:rStyle w:val="Hyperlink0"/>
          <w:lang w:val="cs-CZ"/>
        </w:rPr>
        <w:instrText>jitka.</w:instrText>
      </w:r>
      <w:r>
        <w:rPr>
          <w:rStyle w:val="Hyperlink0"/>
          <w:lang w:val="cs-CZ"/>
        </w:rPr>
        <w:instrText>jechova</w:instrText>
      </w:r>
      <w:r w:rsidRPr="00F32A53">
        <w:rPr>
          <w:rStyle w:val="Hyperlink0"/>
          <w:lang w:val="cs-CZ"/>
        </w:rPr>
        <w:instrText>@toyota-ce.com</w:instrText>
      </w:r>
      <w:r>
        <w:rPr>
          <w:rStyle w:val="Hyperlink0"/>
          <w:lang w:val="cs-CZ"/>
        </w:rPr>
        <w:instrText xml:space="preserve">" </w:instrText>
      </w:r>
      <w:r>
        <w:rPr>
          <w:rStyle w:val="Hyperlink0"/>
          <w:lang w:val="cs-CZ"/>
        </w:rPr>
        <w:fldChar w:fldCharType="separate"/>
      </w:r>
      <w:r w:rsidRPr="001C03D5">
        <w:rPr>
          <w:rStyle w:val="Hyperlink"/>
          <w:rFonts w:ascii="NobelCE Lt" w:eastAsia="NobelCE Lt" w:hAnsi="NobelCE Lt" w:cs="NobelCE Lt"/>
          <w:u w:color="0000FF"/>
        </w:rPr>
        <w:t>jitka.jechova@toyota-ce.com</w:t>
      </w:r>
      <w:r>
        <w:rPr>
          <w:rStyle w:val="Hyperlink0"/>
          <w:lang w:val="cs-CZ"/>
        </w:rPr>
        <w:fldChar w:fldCharType="end"/>
      </w:r>
      <w:r w:rsidR="00323E37" w:rsidRPr="00F32A53">
        <w:rPr>
          <w:rStyle w:val="Hyperlink0"/>
          <w:lang w:val="cs-CZ"/>
        </w:rPr>
        <w:t xml:space="preserve"> </w:t>
      </w:r>
    </w:p>
    <w:sectPr w:rsidR="009953EE" w:rsidRPr="00F32A53">
      <w:headerReference w:type="default" r:id="rId8"/>
      <w:footerReference w:type="default" r:id="rId9"/>
      <w:pgSz w:w="11900" w:h="16840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AA" w:rsidRDefault="00E93EAA">
      <w:r>
        <w:separator/>
      </w:r>
    </w:p>
  </w:endnote>
  <w:endnote w:type="continuationSeparator" w:id="0">
    <w:p w:rsidR="00E93EAA" w:rsidRDefault="00E9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altName w:val="Cambria"/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NobelCE Bk">
    <w:altName w:val="Cambria"/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obel-Book">
    <w:altName w:val="Cambria"/>
    <w:panose1 w:val="02000503040000020004"/>
    <w:charset w:val="EE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EE" w:rsidRDefault="009953EE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AA" w:rsidRDefault="00E93EAA">
      <w:r>
        <w:separator/>
      </w:r>
    </w:p>
  </w:footnote>
  <w:footnote w:type="continuationSeparator" w:id="0">
    <w:p w:rsidR="00E93EAA" w:rsidRDefault="00E93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3EE" w:rsidRDefault="009953EE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6EEA"/>
    <w:multiLevelType w:val="hybridMultilevel"/>
    <w:tmpl w:val="931C09B2"/>
    <w:styleLink w:val="Odrky"/>
    <w:lvl w:ilvl="0" w:tplc="321E230C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A82806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5641BC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B2B8FA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E6F83C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60CAC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52F6CA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CE51E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00D10A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4ED25D1"/>
    <w:multiLevelType w:val="hybridMultilevel"/>
    <w:tmpl w:val="931C09B2"/>
    <w:numStyleLink w:val="Odrk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EE"/>
    <w:rsid w:val="00094F71"/>
    <w:rsid w:val="00323E37"/>
    <w:rsid w:val="00970E6D"/>
    <w:rsid w:val="009953EE"/>
    <w:rsid w:val="00A03C7B"/>
    <w:rsid w:val="00E93EAA"/>
    <w:rsid w:val="00F3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BD76"/>
  <w15:docId w15:val="{CF2E304C-3C13-4E20-A282-5B034FE5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Odrky">
    <w:name w:val="Odrážky"/>
    <w:pPr>
      <w:numPr>
        <w:numId w:val="1"/>
      </w:numPr>
    </w:p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NobelCE Lt" w:eastAsia="NobelCE Lt" w:hAnsi="NobelCE Lt" w:cs="NobelCE Lt"/>
      <w:color w:val="0000FF"/>
      <w:u w:val="single" w:color="0000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Jechova (TCE)</dc:creator>
  <cp:lastModifiedBy>Jitka Jechova (TCE)</cp:lastModifiedBy>
  <cp:revision>3</cp:revision>
  <dcterms:created xsi:type="dcterms:W3CDTF">2018-07-02T09:14:00Z</dcterms:created>
  <dcterms:modified xsi:type="dcterms:W3CDTF">2018-07-02T09:28:00Z</dcterms:modified>
</cp:coreProperties>
</file>