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43AB" w14:textId="77777777" w:rsidR="00F87C11" w:rsidRDefault="00CF4838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057C5909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43009910" r:id="rId8"/>
        </w:object>
      </w:r>
    </w:p>
    <w:p w14:paraId="2C81F920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113EF9CC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3801D14A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38C6D6FB" w14:textId="77777777" w:rsidR="00F87C11" w:rsidRDefault="007D120D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C17EDB">
        <w:rPr>
          <w:rFonts w:ascii="NobelCE Lt" w:hAnsi="NobelCE Lt" w:cs="Arial"/>
        </w:rPr>
        <w:t>2</w:t>
      </w:r>
      <w:r w:rsidR="4A105BD3" w:rsidRPr="4A105BD3">
        <w:rPr>
          <w:rFonts w:ascii="NobelCE Lt" w:hAnsi="NobelCE Lt" w:cs="Arial"/>
        </w:rPr>
        <w:t xml:space="preserve">. </w:t>
      </w:r>
      <w:r w:rsidR="00EF23D0">
        <w:rPr>
          <w:rFonts w:ascii="NobelCE Lt" w:hAnsi="NobelCE Lt" w:cs="Arial"/>
        </w:rPr>
        <w:t>února</w:t>
      </w:r>
      <w:r w:rsidR="4A105BD3" w:rsidRPr="4A105BD3">
        <w:rPr>
          <w:rFonts w:ascii="NobelCE Lt" w:hAnsi="NobelCE Lt" w:cs="Arial"/>
        </w:rPr>
        <w:t xml:space="preserve"> 20</w:t>
      </w:r>
      <w:r w:rsidR="00203970">
        <w:rPr>
          <w:rFonts w:ascii="NobelCE Lt" w:hAnsi="NobelCE Lt" w:cs="Arial"/>
        </w:rPr>
        <w:t>20</w:t>
      </w:r>
    </w:p>
    <w:p w14:paraId="3F321F85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00EFFDF9" w14:textId="77777777" w:rsidR="00385A9B" w:rsidRDefault="007D120D" w:rsidP="00385A9B">
      <w:pPr>
        <w:spacing w:before="100" w:beforeAutospacing="1" w:after="100" w:afterAutospacing="1"/>
        <w:rPr>
          <w:rFonts w:ascii="NobelCE Bk" w:eastAsia="NobelCE Lt" w:hAnsi="NobelCE Bk" w:cs="NobelCE Lt"/>
          <w:b/>
          <w:bCs/>
          <w:sz w:val="52"/>
          <w:szCs w:val="52"/>
        </w:rPr>
        <w:sectPr w:rsidR="00385A9B">
          <w:pgSz w:w="11906" w:h="16838"/>
          <w:pgMar w:top="993" w:right="1417" w:bottom="851" w:left="1417" w:header="0" w:footer="0" w:gutter="0"/>
          <w:cols w:space="708"/>
          <w:formProt w:val="0"/>
          <w:docGrid w:linePitch="360" w:charSpace="-6145"/>
        </w:sectPr>
      </w:pPr>
      <w:r w:rsidRPr="007D120D">
        <w:rPr>
          <w:rFonts w:ascii="NobelCE Bk" w:eastAsia="NobelCE Lt" w:hAnsi="NobelCE Bk" w:cs="NobelCE Lt"/>
          <w:b/>
          <w:bCs/>
          <w:sz w:val="52"/>
          <w:szCs w:val="52"/>
        </w:rPr>
        <w:t xml:space="preserve">DIGITÁLNÍ NÁHRADA VNĚJŠÍCH ZPĚTNÝCH ZRCÁTEK NYNÍ </w:t>
      </w:r>
      <w:r w:rsidR="00385A9B">
        <w:rPr>
          <w:rFonts w:ascii="NobelCE Bk" w:eastAsia="NobelCE Lt" w:hAnsi="NobelCE Bk" w:cs="NobelCE Lt"/>
          <w:b/>
          <w:bCs/>
          <w:sz w:val="52"/>
          <w:szCs w:val="52"/>
        </w:rPr>
        <w:br/>
      </w:r>
      <w:r w:rsidRPr="007D120D">
        <w:rPr>
          <w:rFonts w:ascii="NobelCE Bk" w:eastAsia="NobelCE Lt" w:hAnsi="NobelCE Bk" w:cs="NobelCE Lt"/>
          <w:b/>
          <w:bCs/>
          <w:sz w:val="52"/>
          <w:szCs w:val="52"/>
        </w:rPr>
        <w:t>K DISPOZICI PRO SEDAN LEXUS ES</w:t>
      </w:r>
    </w:p>
    <w:p w14:paraId="11EEE5F8" w14:textId="77777777" w:rsidR="007D120D" w:rsidRDefault="007D120D" w:rsidP="00385A9B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 w:themeColor="text1"/>
        </w:rPr>
      </w:pPr>
      <w:r w:rsidRPr="007D120D">
        <w:rPr>
          <w:rFonts w:ascii="NobelCE Lt" w:hAnsi="NobelCE Lt"/>
          <w:b/>
          <w:bCs/>
          <w:color w:val="000000" w:themeColor="text1"/>
        </w:rPr>
        <w:t>Lexus se i nadále zasazuje o zpřístupňování vyspělých technologií svým zákazníkům ve prospěch ještě vyšší bezpečnosti a pohodlí. Dokladem tohoto úsilí je uvedení digitálních vnějších zpětných zrcátek pro luxusní hybridní sedan ES 300h na evropském trhu. Technologie se představí v evropské premiéře na autosalonu Ženeva 2020 .</w:t>
      </w:r>
    </w:p>
    <w:p w14:paraId="14F90A87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 xml:space="preserve">Systém původně uvedený v roce 2018 v Japonsku (poprvé na světě v rámci sériově vyráběných vozidel) nahrazuje klasická vnější zpětná zrcátka kompaktními kamerami s vysokým rozlišením v exteriéru vozidla, propojenými s displeji v kabině. Ty zajišťují vylepšené zobrazování oblasti za vozidlem a bezprostředně podél něj za všech jízdních podmínek, kdy omezují nebo zcela eliminují slepý úhel výhledu řidiče a automaticky se přizpůsobují tak, aby zprostředkovaly rozšířené zobrazení v situacích, kdy vozidlo zatáčí nebo couvá. </w:t>
      </w:r>
    </w:p>
    <w:p w14:paraId="31159B32" w14:textId="77777777" w:rsidR="007D120D" w:rsidRPr="00385A9B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b/>
          <w:szCs w:val="36"/>
        </w:rPr>
      </w:pPr>
      <w:r w:rsidRPr="00385A9B">
        <w:rPr>
          <w:rFonts w:ascii="NobelCE Lt" w:hAnsi="NobelCE Lt"/>
          <w:b/>
          <w:szCs w:val="36"/>
        </w:rPr>
        <w:t>Ergonomické provedení</w:t>
      </w:r>
    </w:p>
    <w:p w14:paraId="24EFAD90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>Díky ergonomickému řešení tohoto systému může řidič lépe kontrolovat situaci kolem vozidla při menším natáčení hlavy do stran, v souladu se strategií</w:t>
      </w:r>
      <w:r w:rsidR="00385A9B">
        <w:rPr>
          <w:rFonts w:ascii="NobelCE Lt" w:hAnsi="NobelCE Lt"/>
          <w:szCs w:val="36"/>
        </w:rPr>
        <w:t xml:space="preserve"> značky</w:t>
      </w:r>
      <w:r w:rsidRPr="007D120D">
        <w:rPr>
          <w:rFonts w:ascii="NobelCE Lt" w:hAnsi="NobelCE Lt"/>
          <w:szCs w:val="36"/>
        </w:rPr>
        <w:t xml:space="preserve"> Lexus omezovat celkové namáhání řidiče. V základně předních sloupků jsou zabudovány dva 5" barevné displeje, přibližně ve stejné výšce jako vnější zpětná zrcátka, aby je řidič intuitivně našel v obvyklém úhlu pohledu. To znamená, že řidič nemusí nijak výrazně měnit své zvyklosti při běžném kontrolování zpětných zrcátek. </w:t>
      </w:r>
    </w:p>
    <w:p w14:paraId="19E227B9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>Kamery jsou vestavěny do štíhlých aerodynamických pouzder, které jsou sladěny s elegantními křivkami ES</w:t>
      </w:r>
      <w:r>
        <w:rPr>
          <w:rFonts w:ascii="NobelCE Lt" w:hAnsi="NobelCE Lt"/>
          <w:szCs w:val="36"/>
        </w:rPr>
        <w:t>,</w:t>
      </w:r>
      <w:r w:rsidRPr="007D120D">
        <w:rPr>
          <w:rFonts w:ascii="NobelCE Lt" w:hAnsi="NobelCE Lt"/>
          <w:szCs w:val="36"/>
        </w:rPr>
        <w:t xml:space="preserve"> díky menším rozměrům ve srovnání s vnějšími zpětnými zrcátky se podařilo potlačit aerodynamický hluk a zároveň má řidič lepší výhled šikmo vpřed. </w:t>
      </w:r>
    </w:p>
    <w:p w14:paraId="141A9B18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>Kamerové jednotky jsou vybaveny vestavěným vyhříváním, které zamezuje zamrzání nebo zamlžování</w:t>
      </w:r>
      <w:r>
        <w:rPr>
          <w:rFonts w:ascii="NobelCE Lt" w:hAnsi="NobelCE Lt"/>
          <w:szCs w:val="36"/>
        </w:rPr>
        <w:t>,</w:t>
      </w:r>
      <w:r w:rsidRPr="007D120D">
        <w:rPr>
          <w:rFonts w:ascii="NobelCE Lt" w:hAnsi="NobelCE Lt"/>
          <w:szCs w:val="36"/>
        </w:rPr>
        <w:t xml:space="preserve"> navíc jsou umístěny tak, aby obraz neblokovaly dešťové kapky nebo sníh. V případě potřeby může řidič zapnout funkci odmlžování tlačítkem na přístrojové desce, aby měl dokonalý výhled za všech situací. </w:t>
      </w:r>
    </w:p>
    <w:p w14:paraId="5BBCB05C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lastRenderedPageBreak/>
        <w:t xml:space="preserve">Systém je dále vybaven luminiscenčním detektorem, který automaticky potlačuje oslňování od světlometů vzadu jedoucích vozidel při jízdě v noci, což přispívá k mnohem čistšímu výhledu směrem vzad. </w:t>
      </w:r>
    </w:p>
    <w:p w14:paraId="70C6AA4C" w14:textId="77777777" w:rsidR="007D120D" w:rsidRPr="00941C97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941C97">
        <w:rPr>
          <w:rFonts w:ascii="NobelCE Lt" w:hAnsi="NobelCE Lt"/>
          <w:b/>
          <w:bCs/>
          <w:szCs w:val="36"/>
        </w:rPr>
        <w:t>Automatické rozšiřování zobrazení</w:t>
      </w:r>
    </w:p>
    <w:p w14:paraId="10802B49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>Když řidič použije ukazatel směru nebo zařadí zpátečku, digitální zpětná zrcátka se automaticky přepnou na rozšířené zobrazování oblasti podél vozidla a za ním, čímž eliminují slepý úhel výhledu v zájmu bezpečnějšího manévrování. Na změnu způsobu zobrazení upozorňuje řidiče ikonka v rohu displeje. Když řidič dokončí změnu směru, přejíždění z pruhu do pruhu nebo parkování, systém se automaticky přepíná na standardní nastavení. Řidič též může přepnout na rozšířené zobrazení ručně, resp. tuto funkci vypnout.</w:t>
      </w:r>
    </w:p>
    <w:p w14:paraId="200944CC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>Zobrazení systému lze seřizovat pomocí ovládacích prvků na panelu dveří u řidiče, podobně jako klasická vnější zpětná zrcátka. Systémová nastavení jsou k dispozici prostřednictvím menu, včetně nastavení jasu a (jedinečné funkce Lexus) automatického zatahování kamer po zaparkování vozidla. Systém též disponuje funkcí pro sledování slepého úhlu.</w:t>
      </w:r>
    </w:p>
    <w:p w14:paraId="1EA0FF35" w14:textId="77777777" w:rsidR="007D120D" w:rsidRPr="00941C97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bookmarkStart w:id="0" w:name="_GoBack"/>
      <w:r w:rsidRPr="00941C97">
        <w:rPr>
          <w:rFonts w:ascii="NobelCE Lt" w:hAnsi="NobelCE Lt"/>
          <w:b/>
          <w:bCs/>
          <w:szCs w:val="36"/>
        </w:rPr>
        <w:t>Automatické referenční čáry</w:t>
      </w:r>
    </w:p>
    <w:bookmarkEnd w:id="0"/>
    <w:p w14:paraId="216B5777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 xml:space="preserve">Systém digitálních zpětných zrcátek dále pomáhá řidiči s přesným nasměrováním vozidla při parkování i během jízdy, kdy do obrazu automaticky doplňuje referenční vodicí čáry. </w:t>
      </w:r>
    </w:p>
    <w:p w14:paraId="2E074773" w14:textId="77777777" w:rsidR="007D120D" w:rsidRPr="007D120D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 xml:space="preserve">Během parkování čáry ukazují vzdálenost 20 a 50 cm od zadního nárazníku, resp. 50 cm podél obou boků vozidla. Zobrazují se v rámci dynamického obrazu a rovněž v ikoně na displeji zachycující pozici vozidla při pohledu shora.  </w:t>
      </w:r>
    </w:p>
    <w:p w14:paraId="684CCABC" w14:textId="77777777" w:rsidR="00565619" w:rsidRPr="00EF23D0" w:rsidRDefault="007D120D" w:rsidP="007D120D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7D120D">
        <w:rPr>
          <w:rFonts w:ascii="NobelCE Lt" w:hAnsi="NobelCE Lt"/>
          <w:szCs w:val="36"/>
        </w:rPr>
        <w:t>Při jízdě v mimoměstském provozu řidič snáze odhaduje bezpečný odstup od ostatních vozidel díky referenčním čarám ukazujícím 5, 10 a 15 m ve směru jízdy (za rychlostí do 70 km/h). Za vyšších rychlostí se znázorňují vzdálenosti 5, 10, 15 a 30 m.</w:t>
      </w:r>
    </w:p>
    <w:p w14:paraId="650A84D5" w14:textId="77777777" w:rsidR="00474BB0" w:rsidRDefault="00474BB0" w:rsidP="00EF23D0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5F96C6DA" w14:textId="77777777" w:rsidR="0045566F" w:rsidRPr="00203970" w:rsidRDefault="00DB30A9" w:rsidP="00EF23D0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3657937B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58C199F1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163B9E9A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08402A9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20AE1ED3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52E13AD3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59A970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369FDFD9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2E5B638C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0306B1ED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32E49030" w14:textId="77777777" w:rsidR="00F87C11" w:rsidRDefault="00D84C44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 w:rsidSect="00385A9B">
      <w:type w:val="continuous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B5B5" w14:textId="77777777" w:rsidR="00D84C44" w:rsidRDefault="00D84C44" w:rsidP="004B2E5C">
      <w:r>
        <w:separator/>
      </w:r>
    </w:p>
  </w:endnote>
  <w:endnote w:type="continuationSeparator" w:id="0">
    <w:p w14:paraId="6A1BB094" w14:textId="77777777" w:rsidR="00D84C44" w:rsidRDefault="00D84C44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C33E" w14:textId="77777777" w:rsidR="00D84C44" w:rsidRDefault="00D84C44" w:rsidP="004B2E5C">
      <w:r>
        <w:separator/>
      </w:r>
    </w:p>
  </w:footnote>
  <w:footnote w:type="continuationSeparator" w:id="0">
    <w:p w14:paraId="445BFEF1" w14:textId="77777777" w:rsidR="00D84C44" w:rsidRDefault="00D84C44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C3701"/>
    <w:rsid w:val="00104B2E"/>
    <w:rsid w:val="001237EB"/>
    <w:rsid w:val="001377EF"/>
    <w:rsid w:val="001F0D52"/>
    <w:rsid w:val="0020040C"/>
    <w:rsid w:val="00203970"/>
    <w:rsid w:val="002161FE"/>
    <w:rsid w:val="003032F8"/>
    <w:rsid w:val="003154D4"/>
    <w:rsid w:val="003250DE"/>
    <w:rsid w:val="00327C99"/>
    <w:rsid w:val="00385A9B"/>
    <w:rsid w:val="003A1142"/>
    <w:rsid w:val="003A6E24"/>
    <w:rsid w:val="003E43A6"/>
    <w:rsid w:val="0044408C"/>
    <w:rsid w:val="0045566F"/>
    <w:rsid w:val="00474BB0"/>
    <w:rsid w:val="004B2E5C"/>
    <w:rsid w:val="004B582F"/>
    <w:rsid w:val="004D0724"/>
    <w:rsid w:val="004D2656"/>
    <w:rsid w:val="004F74E4"/>
    <w:rsid w:val="00524474"/>
    <w:rsid w:val="00535C90"/>
    <w:rsid w:val="00565619"/>
    <w:rsid w:val="00570566"/>
    <w:rsid w:val="005A056D"/>
    <w:rsid w:val="005A068E"/>
    <w:rsid w:val="005D52E6"/>
    <w:rsid w:val="005E7EE1"/>
    <w:rsid w:val="00612730"/>
    <w:rsid w:val="0063785B"/>
    <w:rsid w:val="00654A86"/>
    <w:rsid w:val="006C295A"/>
    <w:rsid w:val="006E7F3D"/>
    <w:rsid w:val="00726AB2"/>
    <w:rsid w:val="00726E60"/>
    <w:rsid w:val="00761FD1"/>
    <w:rsid w:val="00763832"/>
    <w:rsid w:val="007773C0"/>
    <w:rsid w:val="007D120D"/>
    <w:rsid w:val="00891CEB"/>
    <w:rsid w:val="00935958"/>
    <w:rsid w:val="00941C97"/>
    <w:rsid w:val="009C20E2"/>
    <w:rsid w:val="009F4C84"/>
    <w:rsid w:val="009F7CDA"/>
    <w:rsid w:val="00AC51BA"/>
    <w:rsid w:val="00B32EE0"/>
    <w:rsid w:val="00B56DF0"/>
    <w:rsid w:val="00B7124B"/>
    <w:rsid w:val="00BE2556"/>
    <w:rsid w:val="00BF7840"/>
    <w:rsid w:val="00C17EDB"/>
    <w:rsid w:val="00C777FD"/>
    <w:rsid w:val="00C82B17"/>
    <w:rsid w:val="00CF4838"/>
    <w:rsid w:val="00CF6F09"/>
    <w:rsid w:val="00D31663"/>
    <w:rsid w:val="00D37258"/>
    <w:rsid w:val="00D84C44"/>
    <w:rsid w:val="00DB30A9"/>
    <w:rsid w:val="00EC38CF"/>
    <w:rsid w:val="00EE5FF9"/>
    <w:rsid w:val="00EF23D0"/>
    <w:rsid w:val="00F52971"/>
    <w:rsid w:val="00F66F6A"/>
    <w:rsid w:val="00F67015"/>
    <w:rsid w:val="00F87C11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08EFB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4</cp:revision>
  <dcterms:created xsi:type="dcterms:W3CDTF">2020-02-11T10:03:00Z</dcterms:created>
  <dcterms:modified xsi:type="dcterms:W3CDTF">2020-02-12T09:52:00Z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