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5565236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F3C2475" w:rsidR="00F87C11" w:rsidRDefault="1DA62334">
      <w:pPr>
        <w:spacing w:before="120"/>
        <w:jc w:val="right"/>
        <w:rPr>
          <w:rFonts w:ascii="NobelCE Lt" w:hAnsi="NobelCE Lt" w:cs="Arial"/>
        </w:rPr>
      </w:pPr>
      <w:r w:rsidRPr="1DA62334">
        <w:rPr>
          <w:rFonts w:ascii="NobelCE Lt" w:hAnsi="NobelCE Lt" w:cs="Arial"/>
        </w:rPr>
        <w:t>25. července 2019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ED1DD5D" w14:textId="5FD14137" w:rsidR="00F87C11" w:rsidRPr="00267079" w:rsidRDefault="1DA62334" w:rsidP="00267079">
      <w:pPr>
        <w:spacing w:before="120" w:after="160" w:line="276" w:lineRule="auto"/>
        <w:ind w:right="39"/>
        <w:rPr>
          <w:rFonts w:ascii="NobelCE Bk" w:eastAsia="NobelCE Bk" w:hAnsi="NobelCE Bk" w:cs="NobelCE Bk"/>
          <w:sz w:val="72"/>
          <w:szCs w:val="72"/>
        </w:rPr>
      </w:pPr>
      <w:r w:rsidRPr="00267079">
        <w:rPr>
          <w:rFonts w:ascii="NobelCE Bk" w:hAnsi="NobelCE Bk"/>
          <w:b/>
          <w:bCs/>
          <w:sz w:val="52"/>
          <w:szCs w:val="52"/>
        </w:rPr>
        <w:t xml:space="preserve">LEXUS JE OFICIÁLNÍM VOZEM </w:t>
      </w:r>
      <w:r w:rsidR="00267079" w:rsidRPr="00267079">
        <w:rPr>
          <w:rFonts w:ascii="NobelCE Bk" w:hAnsi="NobelCE Bk"/>
          <w:b/>
          <w:bCs/>
          <w:sz w:val="52"/>
          <w:szCs w:val="52"/>
        </w:rPr>
        <w:br/>
      </w:r>
      <w:r w:rsidRPr="00267079">
        <w:rPr>
          <w:rFonts w:ascii="NobelCE Bk" w:hAnsi="NobelCE Bk"/>
          <w:b/>
          <w:bCs/>
          <w:sz w:val="52"/>
          <w:szCs w:val="52"/>
        </w:rPr>
        <w:t xml:space="preserve">76. ROČNÍKU FILMOVÉHO FESTIVALU </w:t>
      </w:r>
      <w:r w:rsidR="00267079" w:rsidRPr="00267079">
        <w:rPr>
          <w:rFonts w:ascii="NobelCE Bk" w:hAnsi="NobelCE Bk"/>
          <w:b/>
          <w:bCs/>
          <w:sz w:val="52"/>
          <w:szCs w:val="52"/>
        </w:rPr>
        <w:br/>
      </w:r>
      <w:r w:rsidRPr="00267079">
        <w:rPr>
          <w:rFonts w:ascii="NobelCE Bk" w:hAnsi="NobelCE Bk"/>
          <w:b/>
          <w:bCs/>
          <w:sz w:val="52"/>
          <w:szCs w:val="52"/>
        </w:rPr>
        <w:t>V BENÁTKÁCH</w:t>
      </w:r>
      <w:r w:rsidRPr="00267079">
        <w:rPr>
          <w:rFonts w:ascii="NobelCE Bk" w:eastAsia="NobelCE Bk" w:hAnsi="NobelCE Bk" w:cs="NobelCE Bk"/>
          <w:b/>
          <w:bCs/>
          <w:sz w:val="72"/>
          <w:szCs w:val="72"/>
        </w:rPr>
        <w:t xml:space="preserve"> </w:t>
      </w:r>
    </w:p>
    <w:p w14:paraId="3F017406" w14:textId="41331B19" w:rsidR="00F87C11" w:rsidRDefault="1DA62334" w:rsidP="00267079">
      <w:pPr>
        <w:spacing w:before="120" w:after="160"/>
        <w:jc w:val="both"/>
        <w:rPr>
          <w:rFonts w:ascii="NobelCE Lt" w:eastAsia="NobelCE Lt" w:hAnsi="NobelCE Lt" w:cs="NobelCE Lt"/>
        </w:rPr>
      </w:pPr>
      <w:r w:rsidRPr="1DA62334">
        <w:rPr>
          <w:rFonts w:ascii="NobelCE Lt" w:eastAsia="NobelCE Lt" w:hAnsi="NobelCE Lt" w:cs="NobelCE Lt"/>
          <w:b/>
          <w:bCs/>
        </w:rPr>
        <w:t xml:space="preserve">Lexus je již třetím rokem po sobě sponzorem mezinárodního filmového festivalu v Benátkách. </w:t>
      </w:r>
      <w:r w:rsidR="00267079">
        <w:rPr>
          <w:rFonts w:ascii="NobelCE Lt" w:eastAsia="NobelCE Lt" w:hAnsi="NobelCE Lt" w:cs="NobelCE Lt"/>
          <w:b/>
          <w:bCs/>
        </w:rPr>
        <w:br/>
      </w:r>
      <w:r w:rsidRPr="1DA62334">
        <w:rPr>
          <w:rFonts w:ascii="NobelCE Lt" w:eastAsia="NobelCE Lt" w:hAnsi="NobelCE Lt" w:cs="NobelCE Lt"/>
          <w:b/>
          <w:bCs/>
        </w:rPr>
        <w:t>O příjezd herců a dalších hostů se postará 35 hybridních vozů Lexus</w:t>
      </w:r>
      <w:r w:rsidR="00267079">
        <w:rPr>
          <w:rFonts w:ascii="NobelCE Lt" w:eastAsia="NobelCE Lt" w:hAnsi="NobelCE Lt" w:cs="NobelCE Lt"/>
          <w:b/>
          <w:bCs/>
        </w:rPr>
        <w:t>,</w:t>
      </w:r>
      <w:r w:rsidRPr="1DA62334">
        <w:rPr>
          <w:rFonts w:ascii="NobelCE Lt" w:eastAsia="NobelCE Lt" w:hAnsi="NobelCE Lt" w:cs="NobelCE Lt"/>
          <w:b/>
          <w:bCs/>
        </w:rPr>
        <w:t xml:space="preserve"> </w:t>
      </w:r>
      <w:r w:rsidR="00267079">
        <w:rPr>
          <w:rFonts w:ascii="NobelCE Lt" w:eastAsia="NobelCE Lt" w:hAnsi="NobelCE Lt" w:cs="NobelCE Lt"/>
          <w:b/>
          <w:bCs/>
        </w:rPr>
        <w:t xml:space="preserve">včetně nejnovějšího modelu </w:t>
      </w:r>
      <w:r w:rsidRPr="1DA62334">
        <w:rPr>
          <w:rFonts w:ascii="NobelCE Lt" w:eastAsia="NobelCE Lt" w:hAnsi="NobelCE Lt" w:cs="NobelCE Lt"/>
          <w:b/>
          <w:bCs/>
        </w:rPr>
        <w:t>Lexus UX.</w:t>
      </w:r>
    </w:p>
    <w:p w14:paraId="3B612FC8" w14:textId="6C945427" w:rsidR="00F87C11" w:rsidRDefault="1DA62334" w:rsidP="00267079">
      <w:pPr>
        <w:spacing w:before="120" w:after="160" w:line="259" w:lineRule="auto"/>
        <w:jc w:val="both"/>
        <w:rPr>
          <w:rFonts w:ascii="NobelCE Lt" w:eastAsia="NobelCE Lt" w:hAnsi="NobelCE Lt" w:cs="NobelCE Lt"/>
        </w:rPr>
      </w:pPr>
      <w:r w:rsidRPr="1DA62334">
        <w:rPr>
          <w:rFonts w:ascii="NobelCE Lt" w:eastAsia="NobelCE Lt" w:hAnsi="NobelCE Lt" w:cs="NobelCE Lt"/>
        </w:rPr>
        <w:t>Letošní 76. ročník filmového festivalu se uskuteční v italském Lidu od 28. srpna do 7. září 2019. Do čela mezinárodní poroty usedne režisér Lucrecia Martel z Argent</w:t>
      </w:r>
      <w:bookmarkStart w:id="0" w:name="_GoBack"/>
      <w:bookmarkEnd w:id="0"/>
      <w:r w:rsidRPr="1DA62334">
        <w:rPr>
          <w:rFonts w:ascii="NobelCE Lt" w:eastAsia="NobelCE Lt" w:hAnsi="NobelCE Lt" w:cs="NobelCE Lt"/>
        </w:rPr>
        <w:t xml:space="preserve">iny. </w:t>
      </w:r>
    </w:p>
    <w:p w14:paraId="588EE510" w14:textId="6500DF30" w:rsidR="00F87C11" w:rsidRDefault="1DA62334" w:rsidP="00267079">
      <w:pPr>
        <w:spacing w:before="120" w:after="160" w:line="259" w:lineRule="auto"/>
        <w:jc w:val="both"/>
        <w:rPr>
          <w:rFonts w:ascii="NobelCE Lt" w:eastAsia="NobelCE Lt" w:hAnsi="NobelCE Lt" w:cs="NobelCE Lt"/>
        </w:rPr>
      </w:pPr>
      <w:r w:rsidRPr="1DA62334">
        <w:rPr>
          <w:rFonts w:ascii="NobelCE Lt" w:eastAsia="NobelCE Lt" w:hAnsi="NobelCE Lt" w:cs="NobelCE Lt"/>
        </w:rPr>
        <w:t xml:space="preserve">„Lexus bude již potřetí za sebou sponzorem filmového festivalu v Benátkách, La Biennale di Venezia, nejdůležitějšího filmového festivalu v Itálii a současně jednoho z nejvýznamnějších na světě,“ uvedl ředitel </w:t>
      </w:r>
      <w:r w:rsidR="00267079">
        <w:rPr>
          <w:rFonts w:ascii="NobelCE Lt" w:eastAsia="NobelCE Lt" w:hAnsi="NobelCE Lt" w:cs="NobelCE Lt"/>
        </w:rPr>
        <w:t xml:space="preserve">italské </w:t>
      </w:r>
      <w:r w:rsidRPr="1DA62334">
        <w:rPr>
          <w:rFonts w:ascii="NobelCE Lt" w:eastAsia="NobelCE Lt" w:hAnsi="NobelCE Lt" w:cs="NobelCE Lt"/>
        </w:rPr>
        <w:t>divize Lexus, Fabio Capano.</w:t>
      </w:r>
    </w:p>
    <w:p w14:paraId="438874CA" w14:textId="77777777" w:rsidR="00267079" w:rsidRDefault="00267079" w:rsidP="00267079">
      <w:pPr>
        <w:spacing w:before="120" w:after="160" w:line="259" w:lineRule="auto"/>
        <w:jc w:val="both"/>
        <w:rPr>
          <w:rFonts w:ascii="NobelCE Lt" w:hAnsi="NobelCE Lt"/>
          <w:b/>
          <w:bCs/>
        </w:rPr>
      </w:pPr>
      <w:r w:rsidRPr="1DA62334">
        <w:rPr>
          <w:rFonts w:ascii="NobelCE Lt" w:eastAsia="NobelCE Lt" w:hAnsi="NobelCE Lt" w:cs="NobelCE Lt"/>
        </w:rPr>
        <w:t>Lexus bude mít jako oficiální dodavatel festivalových vozidel výsadu přivážet herce, režiséry a další hosty až k červenému koberci. K tomuto účelu poslouží 35 vozidel Lexus vybavených plně hybridní technologií elektrického pohonu.</w:t>
      </w:r>
    </w:p>
    <w:p w14:paraId="69F9F700" w14:textId="4C1DD1CF" w:rsidR="00F87C11" w:rsidRDefault="1DA62334" w:rsidP="00267079">
      <w:pPr>
        <w:spacing w:before="120" w:after="160" w:line="259" w:lineRule="auto"/>
        <w:jc w:val="both"/>
        <w:rPr>
          <w:rFonts w:ascii="NobelCE Lt" w:eastAsia="NobelCE Lt" w:hAnsi="NobelCE Lt" w:cs="NobelCE Lt"/>
        </w:rPr>
      </w:pPr>
      <w:r w:rsidRPr="1DA62334">
        <w:rPr>
          <w:rFonts w:ascii="NobelCE Lt" w:eastAsia="NobelCE Lt" w:hAnsi="NobelCE Lt" w:cs="NobelCE Lt"/>
        </w:rPr>
        <w:t>Značku Lexus a svět festivalových filmů spojuje souhra řemeslného zpracování a pokrokových technologií. Hvězdou p</w:t>
      </w:r>
      <w:r w:rsidR="00267079">
        <w:rPr>
          <w:rFonts w:ascii="NobelCE Lt" w:eastAsia="NobelCE Lt" w:hAnsi="NobelCE Lt" w:cs="NobelCE Lt"/>
        </w:rPr>
        <w:t>řehlídky tak bude nový Lexus UX</w:t>
      </w:r>
      <w:r w:rsidRPr="1DA62334">
        <w:rPr>
          <w:rFonts w:ascii="NobelCE Lt" w:eastAsia="NobelCE Lt" w:hAnsi="NobelCE Lt" w:cs="NobelCE Lt"/>
        </w:rPr>
        <w:t xml:space="preserve">, první plně hybridní kompaktní SUV v prémiovém segmentu C, ale i Lexus LS, sedan Lexus ES a SUV Lexus RX. </w:t>
      </w:r>
    </w:p>
    <w:p w14:paraId="3788A537" w14:textId="5595F0D8" w:rsidR="00F87C11" w:rsidRDefault="00F87C11" w:rsidP="1DA62334">
      <w:pPr>
        <w:spacing w:before="120" w:after="160" w:line="259" w:lineRule="auto"/>
        <w:jc w:val="both"/>
        <w:rPr>
          <w:rFonts w:ascii="NobelCE Lt" w:hAnsi="NobelCE Lt"/>
        </w:rPr>
      </w:pPr>
    </w:p>
    <w:p w14:paraId="54630E31" w14:textId="45F678E4" w:rsidR="00F87C11" w:rsidRDefault="1DA62334" w:rsidP="1DA62334">
      <w:pPr>
        <w:spacing w:before="120" w:after="160" w:line="259" w:lineRule="auto"/>
        <w:jc w:val="both"/>
        <w:rPr>
          <w:rFonts w:ascii="NobelCE Lt" w:hAnsi="NobelCE Lt"/>
          <w:b/>
          <w:bCs/>
        </w:rPr>
      </w:pPr>
      <w:r w:rsidRPr="1DA62334">
        <w:rPr>
          <w:rFonts w:ascii="NobelCE Lt" w:hAnsi="NobelCE Lt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275599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B57E1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0708" w14:textId="77777777" w:rsidR="00275599" w:rsidRDefault="00275599" w:rsidP="004B2E5C">
      <w:r>
        <w:separator/>
      </w:r>
    </w:p>
  </w:endnote>
  <w:endnote w:type="continuationSeparator" w:id="0">
    <w:p w14:paraId="28125771" w14:textId="77777777" w:rsidR="00275599" w:rsidRDefault="00275599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BCC7F" w14:textId="77777777" w:rsidR="00275599" w:rsidRDefault="00275599" w:rsidP="004B2E5C">
      <w:r>
        <w:separator/>
      </w:r>
    </w:p>
  </w:footnote>
  <w:footnote w:type="continuationSeparator" w:id="0">
    <w:p w14:paraId="0D471564" w14:textId="77777777" w:rsidR="00275599" w:rsidRDefault="00275599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0040C"/>
    <w:rsid w:val="002161FE"/>
    <w:rsid w:val="00267079"/>
    <w:rsid w:val="00275599"/>
    <w:rsid w:val="002B26BA"/>
    <w:rsid w:val="003032F8"/>
    <w:rsid w:val="003154D4"/>
    <w:rsid w:val="003A6E24"/>
    <w:rsid w:val="0044408C"/>
    <w:rsid w:val="004B2E5C"/>
    <w:rsid w:val="004B582F"/>
    <w:rsid w:val="004D2656"/>
    <w:rsid w:val="00524474"/>
    <w:rsid w:val="005A056D"/>
    <w:rsid w:val="00654A86"/>
    <w:rsid w:val="006E7F3D"/>
    <w:rsid w:val="0070331B"/>
    <w:rsid w:val="00726E60"/>
    <w:rsid w:val="00763832"/>
    <w:rsid w:val="00891CEB"/>
    <w:rsid w:val="009F7CDA"/>
    <w:rsid w:val="00A6214B"/>
    <w:rsid w:val="00B7124B"/>
    <w:rsid w:val="00BE2556"/>
    <w:rsid w:val="00C82B17"/>
    <w:rsid w:val="00CB57E1"/>
    <w:rsid w:val="00DB30A9"/>
    <w:rsid w:val="00E22087"/>
    <w:rsid w:val="00EB17FA"/>
    <w:rsid w:val="00EC38CF"/>
    <w:rsid w:val="00EE5FF9"/>
    <w:rsid w:val="00F52971"/>
    <w:rsid w:val="00F67015"/>
    <w:rsid w:val="00F87C11"/>
    <w:rsid w:val="1DA62334"/>
    <w:rsid w:val="1E7C4867"/>
    <w:rsid w:val="48DDB8DC"/>
    <w:rsid w:val="7266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B0B94"/>
  <w15:docId w15:val="{7597A524-BA5C-48E5-BB86-AC6FD266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2</cp:revision>
  <dcterms:created xsi:type="dcterms:W3CDTF">2019-07-25T11:08:00Z</dcterms:created>
  <dcterms:modified xsi:type="dcterms:W3CDTF">2019-07-25T11:08:00Z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